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21" w:rsidRPr="00D34FA0" w:rsidRDefault="003113DA">
      <w:pPr>
        <w:rPr>
          <w:rFonts w:ascii="Times New Roman" w:hAnsi="Times New Roman" w:cs="Times New Roman"/>
          <w:b/>
          <w:sz w:val="20"/>
          <w:szCs w:val="20"/>
        </w:rPr>
      </w:pPr>
      <w:r>
        <w:rPr>
          <w:rFonts w:ascii="Times New Roman" w:hAnsi="Times New Roman"/>
          <w:b/>
          <w:sz w:val="20"/>
        </w:rPr>
        <w:t>Apendiks E: Hiwalay at Karagdagang mga Kahilinga</w:t>
      </w:r>
      <w:r w:rsidR="008C162E">
        <w:rPr>
          <w:rFonts w:ascii="Times New Roman" w:hAnsi="Times New Roman"/>
          <w:b/>
          <w:sz w:val="20"/>
        </w:rPr>
        <w:t>n</w:t>
      </w:r>
      <w:bookmarkStart w:id="0" w:name="_GoBack"/>
      <w:bookmarkEnd w:id="0"/>
      <w:r>
        <w:rPr>
          <w:rFonts w:ascii="Times New Roman" w:hAnsi="Times New Roman"/>
          <w:b/>
          <w:sz w:val="20"/>
        </w:rPr>
        <w:t xml:space="preserve"> para sa Pinansiyal na Tulong ng Westfield Memorial Hospital  </w:t>
      </w:r>
    </w:p>
    <w:p w:rsidR="00D34FA0" w:rsidRPr="00D34FA0" w:rsidRDefault="00D12D96">
      <w:pPr>
        <w:rPr>
          <w:rFonts w:ascii="Times New Roman" w:hAnsi="Times New Roman" w:cs="Times New Roman"/>
          <w:b/>
          <w:sz w:val="18"/>
          <w:szCs w:val="18"/>
        </w:rPr>
      </w:pPr>
      <w:r>
        <w:rPr>
          <w:rFonts w:ascii="Times New Roman" w:hAnsi="Times New Roman"/>
          <w:b/>
          <w:sz w:val="18"/>
        </w:rPr>
        <w:t>Pamamaraan para sa Application</w:t>
      </w:r>
    </w:p>
    <w:p w:rsidR="00D34FA0" w:rsidRPr="00D34FA0" w:rsidRDefault="00B9317C">
      <w:pPr>
        <w:rPr>
          <w:rFonts w:ascii="Times New Roman" w:hAnsi="Times New Roman" w:cs="Times New Roman"/>
          <w:b/>
          <w:sz w:val="18"/>
          <w:szCs w:val="18"/>
        </w:rPr>
      </w:pPr>
      <w:r>
        <w:rPr>
          <w:rFonts w:ascii="Times New Roman" w:hAnsi="Times New Roman"/>
          <w:sz w:val="18"/>
        </w:rPr>
        <w:t>Ang mga pasyente na may kitang 100% o mas kaunti pa sa Federal Poverty Guidelines (Pederal na Mga Patnubay sa Kahirapan), ang lahat ng mga pananagutan ng pasyente na balanse ay papatawrin ng 100%.  Para sa mga pasyente na may kita sa pagitan ng 101%-300% ng Federal Poverty Guidelines, isang sliding (naiibang) kaukulang bayad na schedule ang gagamitin na may saklaw ng 85% hanggang 95% na diskuwento batay sa maximum payment amount (MPA) o maximum na halaga ng bayad  Ang mga asset ay hindi gagamitin sa pagpapasya sa antas ng kita ng pasyente.  Ang mga halimbawa ng asset na hindi ikokonsidera ay ang pangunahing tirahan ng pasyente, ang mga asset na nasa isang tax-deferred o comparable retirement savings account, college savings account, o mga kotse na regular na ginagamit ng isang pasyente o kagyat na mga miyembro ng pamilya.</w:t>
      </w:r>
    </w:p>
    <w:p w:rsidR="00B9317C" w:rsidRPr="00D34FA0" w:rsidRDefault="00B9317C">
      <w:pPr>
        <w:rPr>
          <w:rFonts w:ascii="Times New Roman" w:hAnsi="Times New Roman" w:cs="Times New Roman"/>
          <w:b/>
        </w:rPr>
      </w:pPr>
      <w:r>
        <w:rPr>
          <w:rFonts w:ascii="Times New Roman" w:hAnsi="Times New Roman"/>
          <w:sz w:val="18"/>
        </w:rPr>
        <w:t>201</w:t>
      </w:r>
      <w:r w:rsidR="002A0A9B">
        <w:rPr>
          <w:rFonts w:ascii="Times New Roman" w:hAnsi="Times New Roman"/>
          <w:sz w:val="18"/>
        </w:rPr>
        <w:t>9</w:t>
      </w:r>
      <w:r>
        <w:rPr>
          <w:rFonts w:ascii="Times New Roman" w:hAnsi="Times New Roman"/>
          <w:sz w:val="18"/>
        </w:rPr>
        <w:t xml:space="preserve"> Federal Poverty Guidelines hanggang sa petsang ika- </w:t>
      </w:r>
      <w:r w:rsidR="002A0A9B" w:rsidRPr="002A0A9B">
        <w:rPr>
          <w:rFonts w:ascii="Times New Roman" w:hAnsi="Times New Roman"/>
          <w:sz w:val="18"/>
        </w:rPr>
        <w:t>Pebrero 01, 2019</w:t>
      </w:r>
      <w:r w:rsidR="002A0A9B">
        <w:rPr>
          <w:rFonts w:ascii="Times New Roman" w:hAnsi="Times New Roman"/>
          <w:sz w:val="18"/>
        </w:rPr>
        <w:t xml:space="preserve"> </w:t>
      </w:r>
      <w:r>
        <w:rPr>
          <w:rFonts w:ascii="Times New Roman" w:hAnsi="Times New Roman"/>
          <w:sz w:val="18"/>
        </w:rPr>
        <w:t>tulad nang inilathala sa Federal Register [</w:t>
      </w:r>
      <w:r w:rsidR="002A0A9B">
        <w:rPr>
          <w:rFonts w:ascii="Times New Roman" w:hAnsi="Times New Roman" w:cs="Times New Roman"/>
          <w:sz w:val="18"/>
          <w:szCs w:val="18"/>
        </w:rPr>
        <w:t>FR Doc.2019-00621(/a/2019-00621</w:t>
      </w:r>
      <w:r>
        <w:rPr>
          <w:rFonts w:ascii="Times New Roman" w:hAnsi="Times New Roman"/>
          <w:sz w:val="18"/>
        </w:rPr>
        <w:t xml:space="preserve">) naisumite </w:t>
      </w:r>
      <w:r w:rsidR="002A0A9B">
        <w:rPr>
          <w:rFonts w:ascii="Times New Roman" w:hAnsi="Times New Roman" w:cs="Times New Roman"/>
          <w:sz w:val="18"/>
          <w:szCs w:val="18"/>
        </w:rPr>
        <w:t>01-31-19; 8:45A</w:t>
      </w:r>
      <w:r w:rsidR="002A0A9B" w:rsidRPr="00D34FA0">
        <w:rPr>
          <w:rFonts w:ascii="Times New Roman" w:hAnsi="Times New Roman" w:cs="Times New Roman"/>
          <w:sz w:val="18"/>
          <w:szCs w:val="18"/>
        </w:rPr>
        <w:t>M</w:t>
      </w:r>
      <w:r>
        <w:rPr>
          <w:rFonts w:ascii="Times New Roman" w:hAnsi="Times New Roman"/>
          <w:sz w:val="18"/>
        </w:rPr>
        <w:t>]</w:t>
      </w:r>
    </w:p>
    <w:tbl>
      <w:tblPr>
        <w:tblW w:w="8940" w:type="dxa"/>
        <w:tblInd w:w="93" w:type="dxa"/>
        <w:tblLook w:val="04A0"/>
      </w:tblPr>
      <w:tblGrid>
        <w:gridCol w:w="1744"/>
        <w:gridCol w:w="1603"/>
        <w:gridCol w:w="960"/>
        <w:gridCol w:w="1714"/>
        <w:gridCol w:w="1603"/>
        <w:gridCol w:w="1316"/>
      </w:tblGrid>
      <w:tr w:rsidR="00D34FA0" w:rsidRPr="00D34FA0" w:rsidTr="00D34FA0">
        <w:trPr>
          <w:trHeight w:val="330"/>
        </w:trPr>
        <w:tc>
          <w:tcPr>
            <w:tcW w:w="1744" w:type="dxa"/>
            <w:tcBorders>
              <w:top w:val="single" w:sz="12" w:space="0" w:color="auto"/>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100 % na Diskuwento</w:t>
            </w:r>
          </w:p>
        </w:tc>
        <w:tc>
          <w:tcPr>
            <w:tcW w:w="1603"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Pr>
                <w:rFonts w:ascii="Times New Roman" w:hAnsi="Times New Roman"/>
                <w:color w:val="FFFFFF"/>
              </w:rPr>
              <w:t>Saklaw ng Kita</w:t>
            </w:r>
          </w:p>
        </w:tc>
        <w:tc>
          <w:tcPr>
            <w:tcW w:w="960" w:type="dxa"/>
            <w:tcBorders>
              <w:top w:val="nil"/>
              <w:left w:val="nil"/>
              <w:bottom w:val="nil"/>
              <w:right w:val="nil"/>
            </w:tcBorders>
            <w:shd w:val="clear" w:color="auto" w:fill="auto"/>
            <w:noWrap/>
            <w:vAlign w:val="bottom"/>
            <w:hideMark/>
          </w:tcPr>
          <w:p w:rsidR="00D34FA0" w:rsidRPr="00D34FA0" w:rsidRDefault="00D34FA0" w:rsidP="00D34FA0">
            <w:pPr>
              <w:spacing w:after="0" w:line="240" w:lineRule="auto"/>
              <w:rPr>
                <w:rFonts w:ascii="Times New Roman" w:eastAsia="Times New Roman" w:hAnsi="Times New Roman" w:cs="Times New Roman"/>
                <w:color w:val="000000"/>
              </w:rPr>
            </w:pPr>
          </w:p>
        </w:tc>
        <w:tc>
          <w:tcPr>
            <w:tcW w:w="1714" w:type="dxa"/>
            <w:tcBorders>
              <w:top w:val="single" w:sz="12" w:space="0" w:color="auto"/>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95 % na Diskuwento</w:t>
            </w:r>
          </w:p>
        </w:tc>
        <w:tc>
          <w:tcPr>
            <w:tcW w:w="1603"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Pr>
                <w:rFonts w:ascii="Times New Roman" w:hAnsi="Times New Roman"/>
                <w:color w:val="FFFFFF"/>
              </w:rPr>
              <w:t>Saklaw ng Kita</w:t>
            </w:r>
          </w:p>
        </w:tc>
        <w:tc>
          <w:tcPr>
            <w:tcW w:w="1316"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Pr>
                <w:rFonts w:ascii="Times New Roman" w:hAnsi="Times New Roman"/>
                <w:color w:val="FFFFFF"/>
              </w:rPr>
              <w:t> </w:t>
            </w:r>
          </w:p>
        </w:tc>
      </w:tr>
      <w:tr w:rsidR="00D34FA0"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Laki ng Sambahayan</w:t>
            </w:r>
          </w:p>
        </w:tc>
        <w:tc>
          <w:tcPr>
            <w:tcW w:w="1603"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100%</w:t>
            </w:r>
          </w:p>
        </w:tc>
        <w:tc>
          <w:tcPr>
            <w:tcW w:w="960" w:type="dxa"/>
            <w:tcBorders>
              <w:top w:val="nil"/>
              <w:left w:val="nil"/>
              <w:bottom w:val="nil"/>
              <w:right w:val="nil"/>
            </w:tcBorders>
            <w:shd w:val="clear" w:color="auto" w:fill="auto"/>
            <w:noWrap/>
            <w:vAlign w:val="bottom"/>
            <w:hideMark/>
          </w:tcPr>
          <w:p w:rsidR="00D34FA0" w:rsidRPr="00D34FA0" w:rsidRDefault="00D34FA0"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Laki ng Sambahayan</w:t>
            </w:r>
          </w:p>
        </w:tc>
        <w:tc>
          <w:tcPr>
            <w:tcW w:w="1603"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101%</w:t>
            </w:r>
          </w:p>
        </w:tc>
        <w:tc>
          <w:tcPr>
            <w:tcW w:w="1316"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150%</w:t>
            </w:r>
          </w:p>
        </w:tc>
      </w:tr>
      <w:tr w:rsidR="00685AC9"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1</w:t>
            </w:r>
          </w:p>
        </w:tc>
        <w:tc>
          <w:tcPr>
            <w:tcW w:w="1603" w:type="dxa"/>
            <w:tcBorders>
              <w:top w:val="nil"/>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$12,490.00</w:t>
            </w:r>
          </w:p>
        </w:tc>
        <w:tc>
          <w:tcPr>
            <w:tcW w:w="960" w:type="dxa"/>
            <w:tcBorders>
              <w:top w:val="nil"/>
              <w:left w:val="nil"/>
              <w:bottom w:val="nil"/>
              <w:right w:val="nil"/>
            </w:tcBorders>
            <w:shd w:val="clear" w:color="auto" w:fill="auto"/>
            <w:noWrap/>
            <w:vAlign w:val="bottom"/>
            <w:hideMark/>
          </w:tcPr>
          <w:p w:rsidR="00685AC9" w:rsidRPr="00D34FA0" w:rsidRDefault="00685AC9"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1</w:t>
            </w:r>
          </w:p>
        </w:tc>
        <w:tc>
          <w:tcPr>
            <w:tcW w:w="1603" w:type="dxa"/>
            <w:tcBorders>
              <w:top w:val="nil"/>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$12,614.90</w:t>
            </w:r>
          </w:p>
        </w:tc>
        <w:tc>
          <w:tcPr>
            <w:tcW w:w="1316" w:type="dxa"/>
            <w:tcBorders>
              <w:top w:val="nil"/>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$18,735.00</w:t>
            </w:r>
          </w:p>
        </w:tc>
      </w:tr>
      <w:tr w:rsidR="00685AC9"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2</w:t>
            </w:r>
          </w:p>
        </w:tc>
        <w:tc>
          <w:tcPr>
            <w:tcW w:w="1603" w:type="dxa"/>
            <w:tcBorders>
              <w:top w:val="nil"/>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$16,910.00</w:t>
            </w:r>
          </w:p>
        </w:tc>
        <w:tc>
          <w:tcPr>
            <w:tcW w:w="960" w:type="dxa"/>
            <w:tcBorders>
              <w:top w:val="nil"/>
              <w:left w:val="nil"/>
              <w:bottom w:val="nil"/>
              <w:right w:val="nil"/>
            </w:tcBorders>
            <w:shd w:val="clear" w:color="auto" w:fill="auto"/>
            <w:noWrap/>
            <w:vAlign w:val="bottom"/>
            <w:hideMark/>
          </w:tcPr>
          <w:p w:rsidR="00685AC9" w:rsidRPr="00D34FA0" w:rsidRDefault="00685AC9"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2</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$17,079.10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$25,365.00</w:t>
            </w:r>
          </w:p>
        </w:tc>
      </w:tr>
      <w:tr w:rsidR="00685AC9"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3</w:t>
            </w:r>
          </w:p>
        </w:tc>
        <w:tc>
          <w:tcPr>
            <w:tcW w:w="1603" w:type="dxa"/>
            <w:tcBorders>
              <w:top w:val="nil"/>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$21,330.00</w:t>
            </w:r>
          </w:p>
        </w:tc>
        <w:tc>
          <w:tcPr>
            <w:tcW w:w="960" w:type="dxa"/>
            <w:tcBorders>
              <w:top w:val="nil"/>
              <w:left w:val="nil"/>
              <w:bottom w:val="nil"/>
              <w:right w:val="nil"/>
            </w:tcBorders>
            <w:shd w:val="clear" w:color="auto" w:fill="auto"/>
            <w:noWrap/>
            <w:vAlign w:val="bottom"/>
            <w:hideMark/>
          </w:tcPr>
          <w:p w:rsidR="00685AC9" w:rsidRPr="00D34FA0" w:rsidRDefault="00685AC9"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3</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$21,543.30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$31,995.00</w:t>
            </w:r>
          </w:p>
        </w:tc>
      </w:tr>
      <w:tr w:rsidR="00685AC9"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4</w:t>
            </w:r>
          </w:p>
        </w:tc>
        <w:tc>
          <w:tcPr>
            <w:tcW w:w="1603" w:type="dxa"/>
            <w:tcBorders>
              <w:top w:val="nil"/>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$25,750.00</w:t>
            </w:r>
          </w:p>
        </w:tc>
        <w:tc>
          <w:tcPr>
            <w:tcW w:w="960" w:type="dxa"/>
            <w:tcBorders>
              <w:top w:val="nil"/>
              <w:left w:val="nil"/>
              <w:bottom w:val="nil"/>
              <w:right w:val="nil"/>
            </w:tcBorders>
            <w:shd w:val="clear" w:color="auto" w:fill="auto"/>
            <w:noWrap/>
            <w:vAlign w:val="bottom"/>
            <w:hideMark/>
          </w:tcPr>
          <w:p w:rsidR="00685AC9" w:rsidRPr="00D34FA0" w:rsidRDefault="00685AC9"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4</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$26,007.50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$38,625.00</w:t>
            </w:r>
          </w:p>
        </w:tc>
      </w:tr>
      <w:tr w:rsidR="00685AC9"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5</w:t>
            </w:r>
          </w:p>
        </w:tc>
        <w:tc>
          <w:tcPr>
            <w:tcW w:w="1603" w:type="dxa"/>
            <w:tcBorders>
              <w:top w:val="nil"/>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$30,170.00</w:t>
            </w:r>
          </w:p>
        </w:tc>
        <w:tc>
          <w:tcPr>
            <w:tcW w:w="960" w:type="dxa"/>
            <w:tcBorders>
              <w:top w:val="nil"/>
              <w:left w:val="nil"/>
              <w:bottom w:val="nil"/>
              <w:right w:val="nil"/>
            </w:tcBorders>
            <w:shd w:val="clear" w:color="auto" w:fill="auto"/>
            <w:noWrap/>
            <w:vAlign w:val="bottom"/>
            <w:hideMark/>
          </w:tcPr>
          <w:p w:rsidR="00685AC9" w:rsidRPr="00D34FA0" w:rsidRDefault="00685AC9"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5</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$30,471.70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$45,255.00</w:t>
            </w:r>
          </w:p>
        </w:tc>
      </w:tr>
      <w:tr w:rsidR="00685AC9"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6</w:t>
            </w:r>
          </w:p>
        </w:tc>
        <w:tc>
          <w:tcPr>
            <w:tcW w:w="1603" w:type="dxa"/>
            <w:tcBorders>
              <w:top w:val="nil"/>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$34,590.00</w:t>
            </w:r>
          </w:p>
        </w:tc>
        <w:tc>
          <w:tcPr>
            <w:tcW w:w="960" w:type="dxa"/>
            <w:tcBorders>
              <w:top w:val="nil"/>
              <w:left w:val="nil"/>
              <w:bottom w:val="nil"/>
              <w:right w:val="nil"/>
            </w:tcBorders>
            <w:shd w:val="clear" w:color="auto" w:fill="auto"/>
            <w:noWrap/>
            <w:vAlign w:val="bottom"/>
            <w:hideMark/>
          </w:tcPr>
          <w:p w:rsidR="00685AC9" w:rsidRPr="00D34FA0" w:rsidRDefault="00685AC9"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6</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$34,935.90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$51,885.00</w:t>
            </w:r>
          </w:p>
        </w:tc>
      </w:tr>
      <w:tr w:rsidR="00685AC9"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7</w:t>
            </w:r>
          </w:p>
        </w:tc>
        <w:tc>
          <w:tcPr>
            <w:tcW w:w="1603" w:type="dxa"/>
            <w:tcBorders>
              <w:top w:val="nil"/>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$39,010.00</w:t>
            </w:r>
          </w:p>
        </w:tc>
        <w:tc>
          <w:tcPr>
            <w:tcW w:w="960" w:type="dxa"/>
            <w:tcBorders>
              <w:top w:val="nil"/>
              <w:left w:val="nil"/>
              <w:bottom w:val="nil"/>
              <w:right w:val="nil"/>
            </w:tcBorders>
            <w:shd w:val="clear" w:color="auto" w:fill="auto"/>
            <w:noWrap/>
            <w:vAlign w:val="bottom"/>
            <w:hideMark/>
          </w:tcPr>
          <w:p w:rsidR="00685AC9" w:rsidRPr="00D34FA0" w:rsidRDefault="00685AC9"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7</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$39,400.10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$58,515.00</w:t>
            </w:r>
          </w:p>
        </w:tc>
      </w:tr>
      <w:tr w:rsidR="00685AC9"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8</w:t>
            </w:r>
          </w:p>
        </w:tc>
        <w:tc>
          <w:tcPr>
            <w:tcW w:w="1603" w:type="dxa"/>
            <w:tcBorders>
              <w:top w:val="nil"/>
              <w:left w:val="nil"/>
              <w:bottom w:val="single" w:sz="12"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$43,430.00</w:t>
            </w:r>
          </w:p>
        </w:tc>
        <w:tc>
          <w:tcPr>
            <w:tcW w:w="960" w:type="dxa"/>
            <w:tcBorders>
              <w:top w:val="nil"/>
              <w:left w:val="nil"/>
              <w:bottom w:val="nil"/>
              <w:right w:val="nil"/>
            </w:tcBorders>
            <w:shd w:val="clear" w:color="auto" w:fill="auto"/>
            <w:noWrap/>
            <w:vAlign w:val="bottom"/>
            <w:hideMark/>
          </w:tcPr>
          <w:p w:rsidR="00685AC9" w:rsidRPr="00D34FA0" w:rsidRDefault="00685AC9"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8</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$43,864.30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$65,145.00</w:t>
            </w:r>
          </w:p>
        </w:tc>
      </w:tr>
    </w:tbl>
    <w:p w:rsidR="00D34FA0" w:rsidRDefault="00D34FA0">
      <w:pPr>
        <w:rPr>
          <w:rFonts w:ascii="Times New Roman" w:hAnsi="Times New Roman" w:cs="Times New Roman"/>
          <w:sz w:val="18"/>
          <w:szCs w:val="18"/>
        </w:rPr>
      </w:pPr>
    </w:p>
    <w:tbl>
      <w:tblPr>
        <w:tblW w:w="9483" w:type="dxa"/>
        <w:tblInd w:w="93" w:type="dxa"/>
        <w:tblLook w:val="04A0"/>
      </w:tblPr>
      <w:tblGrid>
        <w:gridCol w:w="1632"/>
        <w:gridCol w:w="1505"/>
        <w:gridCol w:w="1426"/>
        <w:gridCol w:w="360"/>
        <w:gridCol w:w="1630"/>
        <w:gridCol w:w="1504"/>
        <w:gridCol w:w="1426"/>
      </w:tblGrid>
      <w:tr w:rsidR="00D34FA0" w:rsidRPr="00D34FA0" w:rsidTr="00D34FA0">
        <w:trPr>
          <w:trHeight w:val="330"/>
        </w:trPr>
        <w:tc>
          <w:tcPr>
            <w:tcW w:w="1632" w:type="dxa"/>
            <w:tcBorders>
              <w:top w:val="single" w:sz="12" w:space="0" w:color="auto"/>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90 % na Diskuwento</w:t>
            </w:r>
          </w:p>
        </w:tc>
        <w:tc>
          <w:tcPr>
            <w:tcW w:w="1505"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Pr>
                <w:rFonts w:ascii="Times New Roman" w:hAnsi="Times New Roman"/>
                <w:color w:val="FFFFFF"/>
              </w:rPr>
              <w:t>Saklaw ng Kita</w:t>
            </w:r>
          </w:p>
        </w:tc>
        <w:tc>
          <w:tcPr>
            <w:tcW w:w="1426"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Pr>
                <w:rFonts w:ascii="Times New Roman" w:hAnsi="Times New Roman"/>
                <w:color w:val="FFFFFF"/>
              </w:rPr>
              <w:t> </w:t>
            </w:r>
          </w:p>
        </w:tc>
        <w:tc>
          <w:tcPr>
            <w:tcW w:w="360" w:type="dxa"/>
            <w:tcBorders>
              <w:top w:val="nil"/>
              <w:left w:val="nil"/>
              <w:bottom w:val="nil"/>
              <w:right w:val="nil"/>
            </w:tcBorders>
            <w:shd w:val="clear" w:color="auto" w:fill="auto"/>
            <w:noWrap/>
            <w:vAlign w:val="bottom"/>
            <w:hideMark/>
          </w:tcPr>
          <w:p w:rsidR="00D34FA0" w:rsidRPr="00D34FA0" w:rsidRDefault="00D34FA0" w:rsidP="00D34FA0">
            <w:pPr>
              <w:spacing w:after="0" w:line="240" w:lineRule="auto"/>
              <w:rPr>
                <w:rFonts w:ascii="Times New Roman" w:eastAsia="Times New Roman" w:hAnsi="Times New Roman" w:cs="Times New Roman"/>
                <w:color w:val="000000"/>
              </w:rPr>
            </w:pPr>
          </w:p>
        </w:tc>
        <w:tc>
          <w:tcPr>
            <w:tcW w:w="1630" w:type="dxa"/>
            <w:tcBorders>
              <w:top w:val="single" w:sz="12" w:space="0" w:color="auto"/>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85 % na Diskuwento</w:t>
            </w:r>
          </w:p>
        </w:tc>
        <w:tc>
          <w:tcPr>
            <w:tcW w:w="1504"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Pr>
                <w:rFonts w:ascii="Times New Roman" w:hAnsi="Times New Roman"/>
                <w:color w:val="FFFFFF"/>
              </w:rPr>
              <w:t>Saklaw ng Kita</w:t>
            </w:r>
          </w:p>
        </w:tc>
        <w:tc>
          <w:tcPr>
            <w:tcW w:w="1426"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Pr>
                <w:rFonts w:ascii="Times New Roman" w:hAnsi="Times New Roman"/>
                <w:color w:val="FFFFFF"/>
              </w:rPr>
              <w:t> </w:t>
            </w:r>
          </w:p>
        </w:tc>
      </w:tr>
      <w:tr w:rsidR="00D34FA0"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Laki ng Sambahayan</w:t>
            </w:r>
          </w:p>
        </w:tc>
        <w:tc>
          <w:tcPr>
            <w:tcW w:w="1505"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151%</w:t>
            </w:r>
          </w:p>
        </w:tc>
        <w:tc>
          <w:tcPr>
            <w:tcW w:w="1426"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250%</w:t>
            </w:r>
          </w:p>
        </w:tc>
        <w:tc>
          <w:tcPr>
            <w:tcW w:w="360" w:type="dxa"/>
            <w:tcBorders>
              <w:top w:val="nil"/>
              <w:left w:val="nil"/>
              <w:bottom w:val="nil"/>
              <w:right w:val="nil"/>
            </w:tcBorders>
            <w:shd w:val="clear" w:color="auto" w:fill="auto"/>
            <w:noWrap/>
            <w:vAlign w:val="bottom"/>
            <w:hideMark/>
          </w:tcPr>
          <w:p w:rsidR="00D34FA0" w:rsidRPr="00D34FA0" w:rsidRDefault="00D34FA0"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Laki ng Sambahayan</w:t>
            </w:r>
          </w:p>
        </w:tc>
        <w:tc>
          <w:tcPr>
            <w:tcW w:w="1504"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251%</w:t>
            </w:r>
          </w:p>
        </w:tc>
        <w:tc>
          <w:tcPr>
            <w:tcW w:w="1426"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300%</w:t>
            </w:r>
          </w:p>
        </w:tc>
      </w:tr>
      <w:tr w:rsidR="00685AC9"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1</w:t>
            </w:r>
          </w:p>
        </w:tc>
        <w:tc>
          <w:tcPr>
            <w:tcW w:w="1505" w:type="dxa"/>
            <w:tcBorders>
              <w:top w:val="nil"/>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$18,859.90</w:t>
            </w:r>
          </w:p>
        </w:tc>
        <w:tc>
          <w:tcPr>
            <w:tcW w:w="1426" w:type="dxa"/>
            <w:tcBorders>
              <w:top w:val="nil"/>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$31,225.00</w:t>
            </w:r>
          </w:p>
        </w:tc>
        <w:tc>
          <w:tcPr>
            <w:tcW w:w="360" w:type="dxa"/>
            <w:tcBorders>
              <w:top w:val="nil"/>
              <w:left w:val="nil"/>
              <w:bottom w:val="nil"/>
              <w:right w:val="nil"/>
            </w:tcBorders>
            <w:shd w:val="clear" w:color="auto" w:fill="auto"/>
            <w:noWrap/>
            <w:vAlign w:val="bottom"/>
            <w:hideMark/>
          </w:tcPr>
          <w:p w:rsidR="00685AC9" w:rsidRPr="00D34FA0" w:rsidRDefault="00685AC9"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1</w:t>
            </w:r>
          </w:p>
        </w:tc>
        <w:tc>
          <w:tcPr>
            <w:tcW w:w="1504" w:type="dxa"/>
            <w:tcBorders>
              <w:top w:val="nil"/>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$31,349.90</w:t>
            </w:r>
          </w:p>
        </w:tc>
        <w:tc>
          <w:tcPr>
            <w:tcW w:w="1426" w:type="dxa"/>
            <w:tcBorders>
              <w:top w:val="nil"/>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$37,470.00</w:t>
            </w:r>
          </w:p>
        </w:tc>
      </w:tr>
      <w:tr w:rsidR="00685AC9"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2</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$25,534.10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$42,275.00</w:t>
            </w:r>
          </w:p>
        </w:tc>
        <w:tc>
          <w:tcPr>
            <w:tcW w:w="360" w:type="dxa"/>
            <w:tcBorders>
              <w:top w:val="nil"/>
              <w:left w:val="nil"/>
              <w:bottom w:val="nil"/>
              <w:right w:val="nil"/>
            </w:tcBorders>
            <w:shd w:val="clear" w:color="auto" w:fill="auto"/>
            <w:noWrap/>
            <w:vAlign w:val="bottom"/>
            <w:hideMark/>
          </w:tcPr>
          <w:p w:rsidR="00685AC9" w:rsidRPr="00D34FA0" w:rsidRDefault="00685AC9"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2</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$42,444.10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$50,730.00</w:t>
            </w:r>
          </w:p>
        </w:tc>
      </w:tr>
      <w:tr w:rsidR="00685AC9"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3</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$32,208.30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$53,325.00</w:t>
            </w:r>
          </w:p>
        </w:tc>
        <w:tc>
          <w:tcPr>
            <w:tcW w:w="360" w:type="dxa"/>
            <w:tcBorders>
              <w:top w:val="nil"/>
              <w:left w:val="nil"/>
              <w:bottom w:val="nil"/>
              <w:right w:val="nil"/>
            </w:tcBorders>
            <w:shd w:val="clear" w:color="auto" w:fill="auto"/>
            <w:noWrap/>
            <w:vAlign w:val="bottom"/>
            <w:hideMark/>
          </w:tcPr>
          <w:p w:rsidR="00685AC9" w:rsidRPr="00D34FA0" w:rsidRDefault="00685AC9"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3</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$53,538.30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$63,990.00</w:t>
            </w:r>
          </w:p>
        </w:tc>
      </w:tr>
      <w:tr w:rsidR="00685AC9"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4</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$38,882.50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$64,375.00</w:t>
            </w:r>
          </w:p>
        </w:tc>
        <w:tc>
          <w:tcPr>
            <w:tcW w:w="360" w:type="dxa"/>
            <w:tcBorders>
              <w:top w:val="nil"/>
              <w:left w:val="nil"/>
              <w:bottom w:val="nil"/>
              <w:right w:val="nil"/>
            </w:tcBorders>
            <w:shd w:val="clear" w:color="auto" w:fill="auto"/>
            <w:noWrap/>
            <w:vAlign w:val="bottom"/>
            <w:hideMark/>
          </w:tcPr>
          <w:p w:rsidR="00685AC9" w:rsidRPr="00D34FA0" w:rsidRDefault="00685AC9"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4</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$64,632.50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$77,250.00</w:t>
            </w:r>
          </w:p>
        </w:tc>
      </w:tr>
      <w:tr w:rsidR="00685AC9"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5</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$45,556.70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$75,425.00</w:t>
            </w:r>
          </w:p>
        </w:tc>
        <w:tc>
          <w:tcPr>
            <w:tcW w:w="360" w:type="dxa"/>
            <w:tcBorders>
              <w:top w:val="nil"/>
              <w:left w:val="nil"/>
              <w:bottom w:val="nil"/>
              <w:right w:val="nil"/>
            </w:tcBorders>
            <w:shd w:val="clear" w:color="auto" w:fill="auto"/>
            <w:noWrap/>
            <w:vAlign w:val="bottom"/>
            <w:hideMark/>
          </w:tcPr>
          <w:p w:rsidR="00685AC9" w:rsidRPr="00D34FA0" w:rsidRDefault="00685AC9"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5</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$75,726.70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$90,510.00</w:t>
            </w:r>
          </w:p>
        </w:tc>
      </w:tr>
      <w:tr w:rsidR="00685AC9"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6</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$52,230.90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$86,475.00</w:t>
            </w:r>
          </w:p>
        </w:tc>
        <w:tc>
          <w:tcPr>
            <w:tcW w:w="360" w:type="dxa"/>
            <w:tcBorders>
              <w:top w:val="nil"/>
              <w:left w:val="nil"/>
              <w:bottom w:val="nil"/>
              <w:right w:val="nil"/>
            </w:tcBorders>
            <w:shd w:val="clear" w:color="auto" w:fill="auto"/>
            <w:noWrap/>
            <w:vAlign w:val="bottom"/>
            <w:hideMark/>
          </w:tcPr>
          <w:p w:rsidR="00685AC9" w:rsidRPr="00D34FA0" w:rsidRDefault="00685AC9"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6</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$86,820.90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$103,770.00</w:t>
            </w:r>
          </w:p>
        </w:tc>
      </w:tr>
      <w:tr w:rsidR="00685AC9"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7</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$58,905.10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$97,525.00</w:t>
            </w:r>
          </w:p>
        </w:tc>
        <w:tc>
          <w:tcPr>
            <w:tcW w:w="360" w:type="dxa"/>
            <w:tcBorders>
              <w:top w:val="nil"/>
              <w:left w:val="nil"/>
              <w:bottom w:val="nil"/>
              <w:right w:val="nil"/>
            </w:tcBorders>
            <w:shd w:val="clear" w:color="auto" w:fill="auto"/>
            <w:noWrap/>
            <w:vAlign w:val="bottom"/>
            <w:hideMark/>
          </w:tcPr>
          <w:p w:rsidR="00685AC9" w:rsidRPr="00D34FA0" w:rsidRDefault="00685AC9"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7</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$97,915.10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$117,030.00</w:t>
            </w:r>
          </w:p>
        </w:tc>
      </w:tr>
      <w:tr w:rsidR="00685AC9"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8</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$65,579.30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$108,575.00</w:t>
            </w:r>
          </w:p>
        </w:tc>
        <w:tc>
          <w:tcPr>
            <w:tcW w:w="360" w:type="dxa"/>
            <w:tcBorders>
              <w:top w:val="nil"/>
              <w:left w:val="nil"/>
              <w:bottom w:val="nil"/>
              <w:right w:val="nil"/>
            </w:tcBorders>
            <w:shd w:val="clear" w:color="auto" w:fill="auto"/>
            <w:noWrap/>
            <w:vAlign w:val="bottom"/>
            <w:hideMark/>
          </w:tcPr>
          <w:p w:rsidR="00685AC9" w:rsidRPr="00D34FA0" w:rsidRDefault="00685AC9"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685AC9" w:rsidRPr="00D34FA0" w:rsidRDefault="00685AC9"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8</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$109,009.30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85AC9" w:rsidRPr="000664CF" w:rsidRDefault="00685AC9" w:rsidP="007C012E">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$130,290.00</w:t>
            </w:r>
          </w:p>
        </w:tc>
      </w:tr>
    </w:tbl>
    <w:p w:rsidR="00D34FA0" w:rsidRPr="00D34FA0" w:rsidRDefault="00D34FA0">
      <w:pPr>
        <w:rPr>
          <w:rFonts w:ascii="Times New Roman" w:hAnsi="Times New Roman" w:cs="Times New Roman"/>
          <w:sz w:val="18"/>
          <w:szCs w:val="18"/>
        </w:rPr>
      </w:pPr>
    </w:p>
    <w:p w:rsidR="00D34FA0" w:rsidRPr="00D34FA0" w:rsidRDefault="00D34FA0">
      <w:pPr>
        <w:rPr>
          <w:rFonts w:ascii="Times New Roman" w:hAnsi="Times New Roman" w:cs="Times New Roman"/>
          <w:sz w:val="18"/>
          <w:szCs w:val="18"/>
        </w:rPr>
      </w:pPr>
    </w:p>
    <w:p w:rsidR="00D34FA0" w:rsidRPr="00D34FA0" w:rsidRDefault="00D34FA0">
      <w:pPr>
        <w:rPr>
          <w:rFonts w:ascii="Times New Roman" w:hAnsi="Times New Roman" w:cs="Times New Roman"/>
          <w:sz w:val="18"/>
          <w:szCs w:val="18"/>
        </w:rPr>
      </w:pPr>
    </w:p>
    <w:p w:rsidR="00863D6E" w:rsidRPr="00D34FA0" w:rsidRDefault="00863D6E">
      <w:pPr>
        <w:rPr>
          <w:rFonts w:ascii="Times New Roman" w:hAnsi="Times New Roman" w:cs="Times New Roman"/>
        </w:rPr>
      </w:pPr>
    </w:p>
    <w:p w:rsidR="00B9317C" w:rsidRPr="00D34FA0" w:rsidRDefault="00B9317C">
      <w:pPr>
        <w:rPr>
          <w:rFonts w:ascii="Times New Roman" w:hAnsi="Times New Roman" w:cs="Times New Roman"/>
          <w:sz w:val="18"/>
          <w:szCs w:val="18"/>
        </w:rPr>
      </w:pPr>
      <w:r>
        <w:rPr>
          <w:rFonts w:ascii="Times New Roman" w:hAnsi="Times New Roman"/>
          <w:sz w:val="18"/>
        </w:rPr>
        <w:t>*Para sa mga pamilya/sambahayan na may higit sa 8 katao,magdagdag ng $</w:t>
      </w:r>
      <w:r w:rsidR="00685AC9">
        <w:rPr>
          <w:rFonts w:ascii="Times New Roman" w:hAnsi="Times New Roman"/>
          <w:sz w:val="18"/>
        </w:rPr>
        <w:t>4420</w:t>
      </w:r>
      <w:r>
        <w:rPr>
          <w:rFonts w:ascii="Times New Roman" w:hAnsi="Times New Roman"/>
          <w:sz w:val="18"/>
        </w:rPr>
        <w:t xml:space="preserve"> para sa bawat karagdagang tao.</w:t>
      </w:r>
    </w:p>
    <w:p w:rsidR="00863D6E" w:rsidRPr="00D34FA0" w:rsidRDefault="00F94920">
      <w:pPr>
        <w:rPr>
          <w:rFonts w:ascii="Times New Roman" w:hAnsi="Times New Roman" w:cs="Times New Roman"/>
          <w:b/>
          <w:sz w:val="18"/>
          <w:szCs w:val="18"/>
        </w:rPr>
      </w:pPr>
      <w:r>
        <w:rPr>
          <w:rFonts w:ascii="Times New Roman" w:hAnsi="Times New Roman"/>
          <w:b/>
          <w:sz w:val="18"/>
        </w:rPr>
        <w:t>Mga Plan sa Pagbabayad (Hulugan)</w:t>
      </w:r>
    </w:p>
    <w:p w:rsidR="00F94920" w:rsidRPr="00D34FA0" w:rsidRDefault="00F94920">
      <w:pPr>
        <w:rPr>
          <w:rFonts w:ascii="Times New Roman" w:hAnsi="Times New Roman" w:cs="Times New Roman"/>
          <w:sz w:val="18"/>
          <w:szCs w:val="18"/>
        </w:rPr>
      </w:pPr>
      <w:r>
        <w:rPr>
          <w:rFonts w:ascii="Times New Roman" w:hAnsi="Times New Roman"/>
          <w:sz w:val="18"/>
        </w:rPr>
        <w:t>May mga handang magamit na plan sa pagbabayad, kung maaprubahan, para sa Westfield Memorial Hospital na mga serbisyo.  Ang mga plan sa pagbabayad ay naaayon sa mga pamantayan sa industriiya, na hindi hihigit sa 10% ng buwanang gross income ng pasyente/guarantor.  Walang interes ang ipapataw sa balanse ng pasyente.  Ang pinabilis na schedule sa pagbabayad ay hindi ginagamit sa Westfield Memorial Hospital.</w:t>
      </w:r>
    </w:p>
    <w:p w:rsidR="00F94920" w:rsidRPr="00D34FA0" w:rsidRDefault="00F94920">
      <w:pPr>
        <w:rPr>
          <w:rFonts w:ascii="Times New Roman" w:hAnsi="Times New Roman" w:cs="Times New Roman"/>
          <w:b/>
          <w:sz w:val="18"/>
          <w:szCs w:val="18"/>
        </w:rPr>
      </w:pPr>
      <w:r>
        <w:rPr>
          <w:rFonts w:ascii="Times New Roman" w:hAnsi="Times New Roman"/>
          <w:b/>
          <w:sz w:val="18"/>
        </w:rPr>
        <w:t>Billing at Mga Pangongolekta</w:t>
      </w:r>
    </w:p>
    <w:p w:rsidR="00F94920" w:rsidRPr="00D34FA0" w:rsidRDefault="007D59D1">
      <w:pPr>
        <w:rPr>
          <w:rFonts w:ascii="Times New Roman" w:hAnsi="Times New Roman" w:cs="Times New Roman"/>
          <w:sz w:val="18"/>
          <w:szCs w:val="18"/>
        </w:rPr>
      </w:pPr>
      <w:r>
        <w:rPr>
          <w:rFonts w:ascii="Times New Roman" w:hAnsi="Times New Roman"/>
          <w:sz w:val="18"/>
        </w:rPr>
        <w:t xml:space="preserve">Ang Westfield Memorial Hospital ay hindi sasali sa extraordinary collection actions (mga ECA) na kabilang ang pinuwersang pagbebenta o pagreremata ng pangunahing tirahan ng pasyente.  </w:t>
      </w:r>
    </w:p>
    <w:p w:rsidR="00863D6E" w:rsidRDefault="00863D6E"/>
    <w:p w:rsidR="00863D6E" w:rsidRDefault="00863D6E"/>
    <w:p w:rsidR="00D12D96" w:rsidRDefault="00D12D96"/>
    <w:p w:rsidR="00D12D96" w:rsidRPr="00D12D96" w:rsidRDefault="00D12D96"/>
    <w:sectPr w:rsidR="00D12D96" w:rsidRPr="00D12D96" w:rsidSect="006D54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078" w:rsidRDefault="00A12078" w:rsidP="00B9317C">
      <w:pPr>
        <w:spacing w:after="0" w:line="240" w:lineRule="auto"/>
      </w:pPr>
      <w:r>
        <w:separator/>
      </w:r>
    </w:p>
  </w:endnote>
  <w:endnote w:type="continuationSeparator" w:id="1">
    <w:p w:rsidR="00A12078" w:rsidRDefault="00A12078" w:rsidP="00B93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078" w:rsidRDefault="00A12078" w:rsidP="00B9317C">
      <w:pPr>
        <w:spacing w:after="0" w:line="240" w:lineRule="auto"/>
      </w:pPr>
      <w:r>
        <w:separator/>
      </w:r>
    </w:p>
  </w:footnote>
  <w:footnote w:type="continuationSeparator" w:id="1">
    <w:p w:rsidR="00A12078" w:rsidRDefault="00A12078" w:rsidP="00B931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hyphenationZone w:val="283"/>
  <w:characterSpacingControl w:val="doNotCompress"/>
  <w:footnotePr>
    <w:footnote w:id="0"/>
    <w:footnote w:id="1"/>
  </w:footnotePr>
  <w:endnotePr>
    <w:endnote w:id="0"/>
    <w:endnote w:id="1"/>
  </w:endnotePr>
  <w:compat/>
  <w:rsids>
    <w:rsidRoot w:val="003113DA"/>
    <w:rsid w:val="000B3CE6"/>
    <w:rsid w:val="00172413"/>
    <w:rsid w:val="001F2A35"/>
    <w:rsid w:val="002A0A9B"/>
    <w:rsid w:val="003113DA"/>
    <w:rsid w:val="003264F8"/>
    <w:rsid w:val="00383AC0"/>
    <w:rsid w:val="003D34D4"/>
    <w:rsid w:val="004538B2"/>
    <w:rsid w:val="0061797D"/>
    <w:rsid w:val="00685AC9"/>
    <w:rsid w:val="006D5403"/>
    <w:rsid w:val="00716D79"/>
    <w:rsid w:val="00762679"/>
    <w:rsid w:val="007D59D1"/>
    <w:rsid w:val="00863D6E"/>
    <w:rsid w:val="00875295"/>
    <w:rsid w:val="00895BBF"/>
    <w:rsid w:val="008C162E"/>
    <w:rsid w:val="00955328"/>
    <w:rsid w:val="00A03703"/>
    <w:rsid w:val="00A12078"/>
    <w:rsid w:val="00A31821"/>
    <w:rsid w:val="00AA7B9C"/>
    <w:rsid w:val="00B9317C"/>
    <w:rsid w:val="00BB0419"/>
    <w:rsid w:val="00C27322"/>
    <w:rsid w:val="00C35E41"/>
    <w:rsid w:val="00D12D96"/>
    <w:rsid w:val="00D34FA0"/>
    <w:rsid w:val="00D51EAC"/>
    <w:rsid w:val="00F357D1"/>
    <w:rsid w:val="00F460C6"/>
    <w:rsid w:val="00F91296"/>
    <w:rsid w:val="00F94920"/>
    <w:rsid w:val="00FA43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fil-PH" w:bidi="fil-P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17C"/>
  </w:style>
  <w:style w:type="paragraph" w:styleId="Footer">
    <w:name w:val="footer"/>
    <w:basedOn w:val="Normal"/>
    <w:link w:val="FooterChar"/>
    <w:uiPriority w:val="99"/>
    <w:unhideWhenUsed/>
    <w:rsid w:val="00B93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l-PH" w:eastAsia="fil-PH" w:bidi="fil-P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317C"/>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B9317C"/>
  </w:style>
  <w:style w:type="paragraph" w:styleId="Pidipagina">
    <w:name w:val="footer"/>
    <w:basedOn w:val="Normale"/>
    <w:link w:val="PidipaginaCarattere"/>
    <w:uiPriority w:val="99"/>
    <w:unhideWhenUsed/>
    <w:rsid w:val="00B9317C"/>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B9317C"/>
  </w:style>
</w:styles>
</file>

<file path=word/webSettings.xml><?xml version="1.0" encoding="utf-8"?>
<w:webSettings xmlns:r="http://schemas.openxmlformats.org/officeDocument/2006/relationships" xmlns:w="http://schemas.openxmlformats.org/wordprocessingml/2006/main">
  <w:divs>
    <w:div w:id="209268878">
      <w:bodyDiv w:val="1"/>
      <w:marLeft w:val="0"/>
      <w:marRight w:val="0"/>
      <w:marTop w:val="0"/>
      <w:marBottom w:val="0"/>
      <w:divBdr>
        <w:top w:val="none" w:sz="0" w:space="0" w:color="auto"/>
        <w:left w:val="none" w:sz="0" w:space="0" w:color="auto"/>
        <w:bottom w:val="none" w:sz="0" w:space="0" w:color="auto"/>
        <w:right w:val="none" w:sz="0" w:space="0" w:color="auto"/>
      </w:divBdr>
    </w:div>
    <w:div w:id="266620999">
      <w:bodyDiv w:val="1"/>
      <w:marLeft w:val="0"/>
      <w:marRight w:val="0"/>
      <w:marTop w:val="0"/>
      <w:marBottom w:val="0"/>
      <w:divBdr>
        <w:top w:val="none" w:sz="0" w:space="0" w:color="auto"/>
        <w:left w:val="none" w:sz="0" w:space="0" w:color="auto"/>
        <w:bottom w:val="none" w:sz="0" w:space="0" w:color="auto"/>
        <w:right w:val="none" w:sz="0" w:space="0" w:color="auto"/>
      </w:divBdr>
    </w:div>
    <w:div w:id="315301618">
      <w:bodyDiv w:val="1"/>
      <w:marLeft w:val="0"/>
      <w:marRight w:val="0"/>
      <w:marTop w:val="0"/>
      <w:marBottom w:val="0"/>
      <w:divBdr>
        <w:top w:val="none" w:sz="0" w:space="0" w:color="auto"/>
        <w:left w:val="none" w:sz="0" w:space="0" w:color="auto"/>
        <w:bottom w:val="none" w:sz="0" w:space="0" w:color="auto"/>
        <w:right w:val="none" w:sz="0" w:space="0" w:color="auto"/>
      </w:divBdr>
    </w:div>
    <w:div w:id="546379695">
      <w:bodyDiv w:val="1"/>
      <w:marLeft w:val="0"/>
      <w:marRight w:val="0"/>
      <w:marTop w:val="0"/>
      <w:marBottom w:val="0"/>
      <w:divBdr>
        <w:top w:val="none" w:sz="0" w:space="0" w:color="auto"/>
        <w:left w:val="none" w:sz="0" w:space="0" w:color="auto"/>
        <w:bottom w:val="none" w:sz="0" w:space="0" w:color="auto"/>
        <w:right w:val="none" w:sz="0" w:space="0" w:color="auto"/>
      </w:divBdr>
    </w:div>
    <w:div w:id="667561835">
      <w:bodyDiv w:val="1"/>
      <w:marLeft w:val="0"/>
      <w:marRight w:val="0"/>
      <w:marTop w:val="0"/>
      <w:marBottom w:val="0"/>
      <w:divBdr>
        <w:top w:val="none" w:sz="0" w:space="0" w:color="auto"/>
        <w:left w:val="none" w:sz="0" w:space="0" w:color="auto"/>
        <w:bottom w:val="none" w:sz="0" w:space="0" w:color="auto"/>
        <w:right w:val="none" w:sz="0" w:space="0" w:color="auto"/>
      </w:divBdr>
    </w:div>
    <w:div w:id="917060228">
      <w:bodyDiv w:val="1"/>
      <w:marLeft w:val="0"/>
      <w:marRight w:val="0"/>
      <w:marTop w:val="0"/>
      <w:marBottom w:val="0"/>
      <w:divBdr>
        <w:top w:val="none" w:sz="0" w:space="0" w:color="auto"/>
        <w:left w:val="none" w:sz="0" w:space="0" w:color="auto"/>
        <w:bottom w:val="none" w:sz="0" w:space="0" w:color="auto"/>
        <w:right w:val="none" w:sz="0" w:space="0" w:color="auto"/>
      </w:divBdr>
    </w:div>
    <w:div w:id="1091244175">
      <w:bodyDiv w:val="1"/>
      <w:marLeft w:val="0"/>
      <w:marRight w:val="0"/>
      <w:marTop w:val="0"/>
      <w:marBottom w:val="0"/>
      <w:divBdr>
        <w:top w:val="none" w:sz="0" w:space="0" w:color="auto"/>
        <w:left w:val="none" w:sz="0" w:space="0" w:color="auto"/>
        <w:bottom w:val="none" w:sz="0" w:space="0" w:color="auto"/>
        <w:right w:val="none" w:sz="0" w:space="0" w:color="auto"/>
      </w:divBdr>
    </w:div>
    <w:div w:id="1263486865">
      <w:bodyDiv w:val="1"/>
      <w:marLeft w:val="0"/>
      <w:marRight w:val="0"/>
      <w:marTop w:val="0"/>
      <w:marBottom w:val="0"/>
      <w:divBdr>
        <w:top w:val="none" w:sz="0" w:space="0" w:color="auto"/>
        <w:left w:val="none" w:sz="0" w:space="0" w:color="auto"/>
        <w:bottom w:val="none" w:sz="0" w:space="0" w:color="auto"/>
        <w:right w:val="none" w:sz="0" w:space="0" w:color="auto"/>
      </w:divBdr>
    </w:div>
    <w:div w:id="1264265048">
      <w:bodyDiv w:val="1"/>
      <w:marLeft w:val="0"/>
      <w:marRight w:val="0"/>
      <w:marTop w:val="0"/>
      <w:marBottom w:val="0"/>
      <w:divBdr>
        <w:top w:val="none" w:sz="0" w:space="0" w:color="auto"/>
        <w:left w:val="none" w:sz="0" w:space="0" w:color="auto"/>
        <w:bottom w:val="none" w:sz="0" w:space="0" w:color="auto"/>
        <w:right w:val="none" w:sz="0" w:space="0" w:color="auto"/>
      </w:divBdr>
    </w:div>
    <w:div w:id="1715693033">
      <w:bodyDiv w:val="1"/>
      <w:marLeft w:val="0"/>
      <w:marRight w:val="0"/>
      <w:marTop w:val="0"/>
      <w:marBottom w:val="0"/>
      <w:divBdr>
        <w:top w:val="none" w:sz="0" w:space="0" w:color="auto"/>
        <w:left w:val="none" w:sz="0" w:space="0" w:color="auto"/>
        <w:bottom w:val="none" w:sz="0" w:space="0" w:color="auto"/>
        <w:right w:val="none" w:sz="0" w:space="0" w:color="auto"/>
      </w:divBdr>
    </w:div>
    <w:div w:id="1889805237">
      <w:bodyDiv w:val="1"/>
      <w:marLeft w:val="0"/>
      <w:marRight w:val="0"/>
      <w:marTop w:val="0"/>
      <w:marBottom w:val="0"/>
      <w:divBdr>
        <w:top w:val="none" w:sz="0" w:space="0" w:color="auto"/>
        <w:left w:val="none" w:sz="0" w:space="0" w:color="auto"/>
        <w:bottom w:val="none" w:sz="0" w:space="0" w:color="auto"/>
        <w:right w:val="none" w:sz="0" w:space="0" w:color="auto"/>
      </w:divBdr>
    </w:div>
    <w:div w:id="200535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Walsko</dc:creator>
  <cp:lastModifiedBy>WWH</cp:lastModifiedBy>
  <cp:revision>4</cp:revision>
  <dcterms:created xsi:type="dcterms:W3CDTF">2019-07-23T18:12:00Z</dcterms:created>
  <dcterms:modified xsi:type="dcterms:W3CDTF">2019-07-23T18:14:00Z</dcterms:modified>
</cp:coreProperties>
</file>