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821" w:rsidRPr="00D34FA0" w:rsidRDefault="003113DA">
      <w:pPr>
        <w:rPr>
          <w:rFonts w:ascii="Times New Roman" w:hAnsi="Times New Roman" w:cs="Times New Roman"/>
          <w:b/>
          <w:sz w:val="20"/>
          <w:szCs w:val="20"/>
        </w:rPr>
      </w:pPr>
      <w:r>
        <w:rPr>
          <w:rFonts w:ascii="Times New Roman" w:hAnsi="Times New Roman"/>
          <w:b/>
          <w:sz w:val="20"/>
          <w:szCs w:val="20"/>
        </w:rPr>
        <w:t>Anexo E:Requisitos Separados e Adicionais para a Assistência Financeira do Hospital Westfield Memorial</w:t>
      </w:r>
    </w:p>
    <w:p w:rsidR="00D34FA0" w:rsidRPr="00D34FA0" w:rsidRDefault="00D12D96">
      <w:pPr>
        <w:rPr>
          <w:rFonts w:ascii="Times New Roman" w:hAnsi="Times New Roman" w:cs="Times New Roman"/>
          <w:b/>
          <w:sz w:val="18"/>
          <w:szCs w:val="18"/>
        </w:rPr>
      </w:pPr>
      <w:r>
        <w:rPr>
          <w:rFonts w:ascii="Times New Roman" w:hAnsi="Times New Roman"/>
          <w:b/>
          <w:sz w:val="18"/>
          <w:szCs w:val="18"/>
        </w:rPr>
        <w:t>Procedimento para Requerimento</w:t>
      </w:r>
    </w:p>
    <w:p w:rsidR="00D34FA0" w:rsidRPr="00D34FA0" w:rsidRDefault="00B9317C">
      <w:pPr>
        <w:rPr>
          <w:rFonts w:ascii="Times New Roman" w:hAnsi="Times New Roman" w:cs="Times New Roman"/>
          <w:b/>
          <w:sz w:val="18"/>
          <w:szCs w:val="18"/>
        </w:rPr>
      </w:pPr>
      <w:r>
        <w:rPr>
          <w:rFonts w:ascii="Times New Roman" w:hAnsi="Times New Roman"/>
          <w:sz w:val="18"/>
          <w:szCs w:val="18"/>
        </w:rPr>
        <w:t>Pacientes que têm uma renda de 100% ou menos das Diretrizes Federais de Pobreza, seus saldos de responsabilidade do paciente serão perdoados em 100%.Para pacientes com renda entre 101% e 300% das Diretrizes Federais de Pobreza, será aplicado um honorário de taxa variável com um intervalo de 85% a 95% de desconto baseado no valor máximo de pagamento (MPA).Ativos não serão usados para determinar o nível de renda do paciente.Exemplos de ativos não considerados são a residência principal de um paciente, ativos mantidos em uma conta de impostos diferidos ou poupança de aposentadoria comparável, conta de poupança universitária ou carros usados regularmente por um paciente ou por familiares próximos.</w:t>
      </w:r>
    </w:p>
    <w:p w:rsidR="00B9317C" w:rsidRPr="00D34FA0" w:rsidRDefault="00B9317C">
      <w:pPr>
        <w:rPr>
          <w:rFonts w:ascii="Times New Roman" w:hAnsi="Times New Roman" w:cs="Times New Roman"/>
          <w:b/>
        </w:rPr>
      </w:pPr>
      <w:r>
        <w:rPr>
          <w:rFonts w:ascii="Times New Roman" w:hAnsi="Times New Roman"/>
          <w:sz w:val="18"/>
          <w:szCs w:val="18"/>
        </w:rPr>
        <w:t>Diretrizes Federais de Pobreza de 201</w:t>
      </w:r>
      <w:r w:rsidR="009E0889">
        <w:rPr>
          <w:rFonts w:ascii="Times New Roman" w:hAnsi="Times New Roman"/>
          <w:sz w:val="18"/>
          <w:szCs w:val="18"/>
        </w:rPr>
        <w:t>9</w:t>
      </w:r>
      <w:r>
        <w:rPr>
          <w:rFonts w:ascii="Times New Roman" w:hAnsi="Times New Roman"/>
          <w:sz w:val="18"/>
          <w:szCs w:val="18"/>
        </w:rPr>
        <w:t xml:space="preserve"> em </w:t>
      </w:r>
      <w:r w:rsidR="009E0889">
        <w:rPr>
          <w:rFonts w:ascii="Times New Roman" w:hAnsi="Times New Roman"/>
          <w:sz w:val="18"/>
          <w:szCs w:val="18"/>
        </w:rPr>
        <w:t>0</w:t>
      </w:r>
      <w:r w:rsidR="009E0889" w:rsidRPr="009E0889">
        <w:rPr>
          <w:rFonts w:ascii="Times New Roman" w:hAnsi="Times New Roman"/>
          <w:sz w:val="18"/>
          <w:szCs w:val="18"/>
        </w:rPr>
        <w:t>1 de fevereiro de 2019</w:t>
      </w:r>
      <w:r>
        <w:rPr>
          <w:rFonts w:ascii="Times New Roman" w:hAnsi="Times New Roman"/>
          <w:sz w:val="18"/>
          <w:szCs w:val="18"/>
        </w:rPr>
        <w:t>, conforme publicado no Federal Register [</w:t>
      </w:r>
      <w:r w:rsidR="009E0889">
        <w:rPr>
          <w:rFonts w:ascii="Times New Roman" w:hAnsi="Times New Roman" w:cs="Times New Roman"/>
          <w:sz w:val="18"/>
          <w:szCs w:val="18"/>
        </w:rPr>
        <w:t>FR Doc.2019-00621(/a/2019-00621</w:t>
      </w:r>
      <w:r>
        <w:rPr>
          <w:rFonts w:ascii="Times New Roman" w:hAnsi="Times New Roman"/>
          <w:sz w:val="18"/>
          <w:szCs w:val="18"/>
        </w:rPr>
        <w:t xml:space="preserve">) protocolado em </w:t>
      </w:r>
      <w:r w:rsidR="009E0889">
        <w:rPr>
          <w:rFonts w:ascii="Times New Roman" w:hAnsi="Times New Roman" w:cs="Times New Roman"/>
          <w:sz w:val="18"/>
          <w:szCs w:val="18"/>
        </w:rPr>
        <w:t>01-31-19; 8:45A</w:t>
      </w:r>
      <w:r w:rsidR="009E0889" w:rsidRPr="00D34FA0">
        <w:rPr>
          <w:rFonts w:ascii="Times New Roman" w:hAnsi="Times New Roman" w:cs="Times New Roman"/>
          <w:sz w:val="18"/>
          <w:szCs w:val="18"/>
        </w:rPr>
        <w:t>M</w:t>
      </w:r>
      <w:r w:rsidR="009E0889">
        <w:rPr>
          <w:rFonts w:ascii="Times New Roman" w:hAnsi="Times New Roman" w:cs="Times New Roman"/>
          <w:sz w:val="18"/>
          <w:szCs w:val="18"/>
        </w:rPr>
        <w:t>]</w:t>
      </w:r>
    </w:p>
    <w:tbl>
      <w:tblPr>
        <w:tblW w:w="8940" w:type="dxa"/>
        <w:tblInd w:w="93" w:type="dxa"/>
        <w:tblLook w:val="04A0"/>
      </w:tblPr>
      <w:tblGrid>
        <w:gridCol w:w="1744"/>
        <w:gridCol w:w="1603"/>
        <w:gridCol w:w="960"/>
        <w:gridCol w:w="1714"/>
        <w:gridCol w:w="1603"/>
        <w:gridCol w:w="1316"/>
      </w:tblGrid>
      <w:tr w:rsidR="00D34FA0" w:rsidRPr="00D34FA0" w:rsidTr="00D34FA0">
        <w:trPr>
          <w:trHeight w:val="330"/>
        </w:trPr>
        <w:tc>
          <w:tcPr>
            <w:tcW w:w="1744"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100% de Desconto</w:t>
            </w:r>
          </w:p>
        </w:tc>
        <w:tc>
          <w:tcPr>
            <w:tcW w:w="1603"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Faixa de renda</w:t>
            </w:r>
          </w:p>
        </w:tc>
        <w:tc>
          <w:tcPr>
            <w:tcW w:w="9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714"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95 % de Desconto</w:t>
            </w:r>
          </w:p>
        </w:tc>
        <w:tc>
          <w:tcPr>
            <w:tcW w:w="1603"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Faixa de renda</w:t>
            </w:r>
          </w:p>
        </w:tc>
        <w:tc>
          <w:tcPr>
            <w:tcW w:w="1316"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 </w:t>
            </w:r>
          </w:p>
        </w:tc>
      </w:tr>
      <w:tr w:rsidR="00D34FA0"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Número de agregado familiar</w:t>
            </w:r>
          </w:p>
        </w:tc>
        <w:tc>
          <w:tcPr>
            <w:tcW w:w="1603"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100%</w:t>
            </w:r>
          </w:p>
        </w:tc>
        <w:tc>
          <w:tcPr>
            <w:tcW w:w="9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Número de agregado familiar</w:t>
            </w:r>
          </w:p>
        </w:tc>
        <w:tc>
          <w:tcPr>
            <w:tcW w:w="1603"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101%</w:t>
            </w:r>
          </w:p>
        </w:tc>
        <w:tc>
          <w:tcPr>
            <w:tcW w:w="1316"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150%</w:t>
            </w:r>
          </w:p>
        </w:tc>
      </w:tr>
      <w:tr w:rsidR="00BE4B65"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c>
          <w:tcPr>
            <w:tcW w:w="1603" w:type="dxa"/>
            <w:tcBorders>
              <w:top w:val="nil"/>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$12,490.00</w:t>
            </w:r>
          </w:p>
        </w:tc>
        <w:tc>
          <w:tcPr>
            <w:tcW w:w="9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c>
          <w:tcPr>
            <w:tcW w:w="1603" w:type="dxa"/>
            <w:tcBorders>
              <w:top w:val="nil"/>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$12,614.90</w:t>
            </w:r>
          </w:p>
        </w:tc>
        <w:tc>
          <w:tcPr>
            <w:tcW w:w="1316" w:type="dxa"/>
            <w:tcBorders>
              <w:top w:val="nil"/>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$18,735.00</w:t>
            </w:r>
          </w:p>
        </w:tc>
      </w:tr>
      <w:tr w:rsidR="00BE4B65"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c>
          <w:tcPr>
            <w:tcW w:w="1603" w:type="dxa"/>
            <w:tcBorders>
              <w:top w:val="nil"/>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$16,910.00</w:t>
            </w:r>
          </w:p>
        </w:tc>
        <w:tc>
          <w:tcPr>
            <w:tcW w:w="9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$17,079.10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$25,365.00</w:t>
            </w:r>
          </w:p>
        </w:tc>
      </w:tr>
      <w:tr w:rsidR="00BE4B65"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c>
          <w:tcPr>
            <w:tcW w:w="1603" w:type="dxa"/>
            <w:tcBorders>
              <w:top w:val="nil"/>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$21,330.00</w:t>
            </w:r>
          </w:p>
        </w:tc>
        <w:tc>
          <w:tcPr>
            <w:tcW w:w="9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$21,543.30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$31,995.00</w:t>
            </w:r>
          </w:p>
        </w:tc>
      </w:tr>
      <w:tr w:rsidR="00BE4B65"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c>
          <w:tcPr>
            <w:tcW w:w="1603" w:type="dxa"/>
            <w:tcBorders>
              <w:top w:val="nil"/>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$25,750.00</w:t>
            </w:r>
          </w:p>
        </w:tc>
        <w:tc>
          <w:tcPr>
            <w:tcW w:w="9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$26,007.50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$38,625.00</w:t>
            </w:r>
          </w:p>
        </w:tc>
      </w:tr>
      <w:tr w:rsidR="00BE4B65"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c>
          <w:tcPr>
            <w:tcW w:w="1603" w:type="dxa"/>
            <w:tcBorders>
              <w:top w:val="nil"/>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$30,170.00</w:t>
            </w:r>
          </w:p>
        </w:tc>
        <w:tc>
          <w:tcPr>
            <w:tcW w:w="9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$30,471.70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$45,255.00</w:t>
            </w:r>
          </w:p>
        </w:tc>
      </w:tr>
      <w:tr w:rsidR="00BE4B65"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6</w:t>
            </w:r>
          </w:p>
        </w:tc>
        <w:tc>
          <w:tcPr>
            <w:tcW w:w="1603" w:type="dxa"/>
            <w:tcBorders>
              <w:top w:val="nil"/>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$34,590.00</w:t>
            </w:r>
          </w:p>
        </w:tc>
        <w:tc>
          <w:tcPr>
            <w:tcW w:w="9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6</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$34,935.90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$51,885.00</w:t>
            </w:r>
          </w:p>
        </w:tc>
      </w:tr>
      <w:tr w:rsidR="00BE4B65"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c>
          <w:tcPr>
            <w:tcW w:w="1603" w:type="dxa"/>
            <w:tcBorders>
              <w:top w:val="nil"/>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$39,010.00</w:t>
            </w:r>
          </w:p>
        </w:tc>
        <w:tc>
          <w:tcPr>
            <w:tcW w:w="9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$39,400.10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$58,515.00</w:t>
            </w:r>
          </w:p>
        </w:tc>
      </w:tr>
      <w:tr w:rsidR="00BE4B65" w:rsidRPr="00D34FA0" w:rsidTr="00D34FA0">
        <w:trPr>
          <w:trHeight w:val="330"/>
        </w:trPr>
        <w:tc>
          <w:tcPr>
            <w:tcW w:w="174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c>
          <w:tcPr>
            <w:tcW w:w="1603" w:type="dxa"/>
            <w:tcBorders>
              <w:top w:val="nil"/>
              <w:left w:val="nil"/>
              <w:bottom w:val="single" w:sz="12"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$43,430.00</w:t>
            </w:r>
          </w:p>
        </w:tc>
        <w:tc>
          <w:tcPr>
            <w:tcW w:w="9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714"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c>
          <w:tcPr>
            <w:tcW w:w="1603"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$43,864.30</w:t>
            </w:r>
          </w:p>
        </w:tc>
        <w:tc>
          <w:tcPr>
            <w:tcW w:w="131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$65,145.00</w:t>
            </w:r>
          </w:p>
        </w:tc>
      </w:tr>
    </w:tbl>
    <w:p w:rsidR="00D34FA0" w:rsidRDefault="00D34FA0">
      <w:pPr>
        <w:rPr>
          <w:rFonts w:ascii="Times New Roman" w:hAnsi="Times New Roman" w:cs="Times New Roman"/>
          <w:sz w:val="18"/>
          <w:szCs w:val="18"/>
        </w:rPr>
      </w:pPr>
    </w:p>
    <w:tbl>
      <w:tblPr>
        <w:tblW w:w="9483" w:type="dxa"/>
        <w:tblInd w:w="93" w:type="dxa"/>
        <w:tblLook w:val="04A0"/>
      </w:tblPr>
      <w:tblGrid>
        <w:gridCol w:w="1632"/>
        <w:gridCol w:w="1505"/>
        <w:gridCol w:w="1426"/>
        <w:gridCol w:w="360"/>
        <w:gridCol w:w="1630"/>
        <w:gridCol w:w="1504"/>
        <w:gridCol w:w="1426"/>
      </w:tblGrid>
      <w:tr w:rsidR="00D34FA0" w:rsidRPr="00D34FA0" w:rsidTr="00D34FA0">
        <w:trPr>
          <w:trHeight w:val="330"/>
        </w:trPr>
        <w:tc>
          <w:tcPr>
            <w:tcW w:w="1632"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90 % de Desconto</w:t>
            </w:r>
          </w:p>
        </w:tc>
        <w:tc>
          <w:tcPr>
            <w:tcW w:w="1505"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Faixa de renda</w:t>
            </w:r>
          </w:p>
        </w:tc>
        <w:tc>
          <w:tcPr>
            <w:tcW w:w="1426"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 </w:t>
            </w:r>
          </w:p>
        </w:tc>
        <w:tc>
          <w:tcPr>
            <w:tcW w:w="3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630" w:type="dxa"/>
            <w:tcBorders>
              <w:top w:val="single" w:sz="12" w:space="0" w:color="auto"/>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85 % de Desconto</w:t>
            </w:r>
          </w:p>
        </w:tc>
        <w:tc>
          <w:tcPr>
            <w:tcW w:w="1504"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Faixa de renda</w:t>
            </w:r>
          </w:p>
        </w:tc>
        <w:tc>
          <w:tcPr>
            <w:tcW w:w="1426" w:type="dxa"/>
            <w:tcBorders>
              <w:top w:val="single" w:sz="12" w:space="0" w:color="auto"/>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rPr>
                <w:rFonts w:ascii="Times New Roman" w:eastAsia="Times New Roman" w:hAnsi="Times New Roman" w:cs="Times New Roman"/>
                <w:color w:val="FFFFFF"/>
              </w:rPr>
            </w:pPr>
            <w:r>
              <w:rPr>
                <w:rFonts w:ascii="Times New Roman" w:hAnsi="Times New Roman"/>
                <w:color w:val="FFFFFF"/>
              </w:rPr>
              <w:t> </w:t>
            </w:r>
          </w:p>
        </w:tc>
      </w:tr>
      <w:tr w:rsidR="00D34FA0"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Número de agregado familiar</w:t>
            </w:r>
          </w:p>
        </w:tc>
        <w:tc>
          <w:tcPr>
            <w:tcW w:w="1505"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151%</w:t>
            </w:r>
          </w:p>
        </w:tc>
        <w:tc>
          <w:tcPr>
            <w:tcW w:w="1426"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250%</w:t>
            </w:r>
          </w:p>
        </w:tc>
        <w:tc>
          <w:tcPr>
            <w:tcW w:w="360" w:type="dxa"/>
            <w:tcBorders>
              <w:top w:val="nil"/>
              <w:left w:val="nil"/>
              <w:bottom w:val="nil"/>
              <w:right w:val="nil"/>
            </w:tcBorders>
            <w:shd w:val="clear" w:color="auto" w:fill="auto"/>
            <w:noWrap/>
            <w:vAlign w:val="bottom"/>
            <w:hideMark/>
          </w:tcPr>
          <w:p w:rsidR="00D34FA0" w:rsidRPr="00D34FA0" w:rsidRDefault="00D34FA0"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Número de agregado familiar</w:t>
            </w:r>
          </w:p>
        </w:tc>
        <w:tc>
          <w:tcPr>
            <w:tcW w:w="1504"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251%</w:t>
            </w:r>
          </w:p>
        </w:tc>
        <w:tc>
          <w:tcPr>
            <w:tcW w:w="1426" w:type="dxa"/>
            <w:tcBorders>
              <w:top w:val="nil"/>
              <w:left w:val="nil"/>
              <w:bottom w:val="single" w:sz="12" w:space="0" w:color="auto"/>
              <w:right w:val="single" w:sz="12" w:space="0" w:color="auto"/>
            </w:tcBorders>
            <w:shd w:val="clear" w:color="000000" w:fill="538DD5"/>
            <w:noWrap/>
            <w:vAlign w:val="bottom"/>
            <w:hideMark/>
          </w:tcPr>
          <w:p w:rsidR="00D34FA0" w:rsidRPr="00D34FA0" w:rsidRDefault="00D34FA0" w:rsidP="00D34FA0">
            <w:pPr>
              <w:spacing w:after="0" w:line="240" w:lineRule="auto"/>
              <w:jc w:val="center"/>
              <w:rPr>
                <w:rFonts w:ascii="Times New Roman" w:eastAsia="Times New Roman" w:hAnsi="Times New Roman" w:cs="Times New Roman"/>
                <w:color w:val="FFFFFF"/>
              </w:rPr>
            </w:pPr>
            <w:r>
              <w:rPr>
                <w:rFonts w:ascii="Times New Roman" w:hAnsi="Times New Roman"/>
                <w:color w:val="FFFFFF"/>
              </w:rPr>
              <w:t>300%</w:t>
            </w:r>
          </w:p>
        </w:tc>
      </w:tr>
      <w:tr w:rsidR="00BE4B65"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c>
          <w:tcPr>
            <w:tcW w:w="1505" w:type="dxa"/>
            <w:tcBorders>
              <w:top w:val="nil"/>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$18,859.90</w:t>
            </w:r>
          </w:p>
        </w:tc>
        <w:tc>
          <w:tcPr>
            <w:tcW w:w="1426" w:type="dxa"/>
            <w:tcBorders>
              <w:top w:val="nil"/>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$31,225.00</w:t>
            </w:r>
          </w:p>
        </w:tc>
        <w:tc>
          <w:tcPr>
            <w:tcW w:w="3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1</w:t>
            </w:r>
          </w:p>
        </w:tc>
        <w:tc>
          <w:tcPr>
            <w:tcW w:w="1504" w:type="dxa"/>
            <w:tcBorders>
              <w:top w:val="nil"/>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$31,349.90</w:t>
            </w:r>
          </w:p>
        </w:tc>
        <w:tc>
          <w:tcPr>
            <w:tcW w:w="1426" w:type="dxa"/>
            <w:tcBorders>
              <w:top w:val="nil"/>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$37,470.00</w:t>
            </w:r>
          </w:p>
        </w:tc>
      </w:tr>
      <w:tr w:rsidR="00BE4B65"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$25,534.10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$42,275.00</w:t>
            </w:r>
          </w:p>
        </w:tc>
        <w:tc>
          <w:tcPr>
            <w:tcW w:w="3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$42,444.10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$50,730.00</w:t>
            </w:r>
          </w:p>
        </w:tc>
      </w:tr>
      <w:tr w:rsidR="00BE4B65"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$32,208.30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$53,325.00</w:t>
            </w:r>
          </w:p>
        </w:tc>
        <w:tc>
          <w:tcPr>
            <w:tcW w:w="3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$53,538.30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$63,990.00</w:t>
            </w:r>
          </w:p>
        </w:tc>
      </w:tr>
      <w:tr w:rsidR="00BE4B65"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$38,882.50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$64,375.00</w:t>
            </w:r>
          </w:p>
        </w:tc>
        <w:tc>
          <w:tcPr>
            <w:tcW w:w="3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$64,632.50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$77,250.00</w:t>
            </w:r>
          </w:p>
        </w:tc>
      </w:tr>
      <w:tr w:rsidR="00BE4B65"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$45,556.70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$75,425.00</w:t>
            </w:r>
          </w:p>
        </w:tc>
        <w:tc>
          <w:tcPr>
            <w:tcW w:w="3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$75,726.70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$90,510.00</w:t>
            </w:r>
          </w:p>
        </w:tc>
      </w:tr>
      <w:tr w:rsidR="00BE4B65"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6</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$52,230.90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$86,475.00</w:t>
            </w:r>
          </w:p>
        </w:tc>
        <w:tc>
          <w:tcPr>
            <w:tcW w:w="3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6</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$86,820.90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$103,770.00</w:t>
            </w:r>
          </w:p>
        </w:tc>
      </w:tr>
      <w:tr w:rsidR="00BE4B65"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$58,905.10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$97,525.00</w:t>
            </w:r>
          </w:p>
        </w:tc>
        <w:tc>
          <w:tcPr>
            <w:tcW w:w="3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$97,915.10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$117,030.00</w:t>
            </w:r>
          </w:p>
        </w:tc>
      </w:tr>
      <w:tr w:rsidR="00BE4B65" w:rsidRPr="00D34FA0" w:rsidTr="00D34FA0">
        <w:trPr>
          <w:trHeight w:val="330"/>
        </w:trPr>
        <w:tc>
          <w:tcPr>
            <w:tcW w:w="1632"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c>
          <w:tcPr>
            <w:tcW w:w="1505"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$65,579.30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$108,575.00</w:t>
            </w:r>
          </w:p>
        </w:tc>
        <w:tc>
          <w:tcPr>
            <w:tcW w:w="360" w:type="dxa"/>
            <w:tcBorders>
              <w:top w:val="nil"/>
              <w:left w:val="nil"/>
              <w:bottom w:val="nil"/>
              <w:right w:val="nil"/>
            </w:tcBorders>
            <w:shd w:val="clear" w:color="auto" w:fill="auto"/>
            <w:noWrap/>
            <w:vAlign w:val="bottom"/>
            <w:hideMark/>
          </w:tcPr>
          <w:p w:rsidR="00BE4B65" w:rsidRPr="00D34FA0" w:rsidRDefault="00BE4B65" w:rsidP="00D34FA0">
            <w:pPr>
              <w:spacing w:after="0" w:line="240" w:lineRule="auto"/>
              <w:rPr>
                <w:rFonts w:ascii="Times New Roman" w:eastAsia="Times New Roman" w:hAnsi="Times New Roman" w:cs="Times New Roman"/>
                <w:color w:val="000000"/>
              </w:rPr>
            </w:pPr>
          </w:p>
        </w:tc>
        <w:tc>
          <w:tcPr>
            <w:tcW w:w="1630" w:type="dxa"/>
            <w:tcBorders>
              <w:top w:val="nil"/>
              <w:left w:val="single" w:sz="12" w:space="0" w:color="auto"/>
              <w:bottom w:val="single" w:sz="12" w:space="0" w:color="auto"/>
              <w:right w:val="single" w:sz="12" w:space="0" w:color="auto"/>
            </w:tcBorders>
            <w:shd w:val="clear" w:color="000000" w:fill="D9D9D9"/>
            <w:noWrap/>
            <w:vAlign w:val="bottom"/>
            <w:hideMark/>
          </w:tcPr>
          <w:p w:rsidR="00BE4B65" w:rsidRPr="00D34FA0" w:rsidRDefault="00BE4B65" w:rsidP="00D34FA0">
            <w:pPr>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c>
          <w:tcPr>
            <w:tcW w:w="1504" w:type="dxa"/>
            <w:tcBorders>
              <w:top w:val="single" w:sz="12" w:space="0" w:color="auto"/>
              <w:left w:val="nil"/>
              <w:bottom w:val="single" w:sz="4" w:space="0" w:color="auto"/>
              <w:right w:val="single" w:sz="4"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$109,009.30</w:t>
            </w:r>
          </w:p>
        </w:tc>
        <w:tc>
          <w:tcPr>
            <w:tcW w:w="1426" w:type="dxa"/>
            <w:tcBorders>
              <w:top w:val="single" w:sz="12" w:space="0" w:color="auto"/>
              <w:left w:val="nil"/>
              <w:bottom w:val="single" w:sz="4" w:space="0" w:color="auto"/>
              <w:right w:val="single" w:sz="12" w:space="0" w:color="auto"/>
            </w:tcBorders>
            <w:shd w:val="clear" w:color="000000" w:fill="D9D9D9"/>
            <w:noWrap/>
            <w:vAlign w:val="bottom"/>
            <w:hideMark/>
          </w:tcPr>
          <w:p w:rsidR="00BE4B65" w:rsidRPr="000664CF" w:rsidRDefault="00BE4B65" w:rsidP="0005045F">
            <w:pPr>
              <w:spacing w:after="0" w:line="240" w:lineRule="auto"/>
              <w:jc w:val="center"/>
              <w:rPr>
                <w:rFonts w:ascii="Times New Roman" w:eastAsia="Times New Roman" w:hAnsi="Times New Roman" w:cs="Times New Roman"/>
                <w:color w:val="000000"/>
              </w:rPr>
            </w:pPr>
            <w:r w:rsidRPr="000664CF">
              <w:rPr>
                <w:rFonts w:ascii="Times New Roman" w:eastAsia="Times New Roman" w:hAnsi="Times New Roman" w:cs="Times New Roman"/>
                <w:color w:val="000000"/>
              </w:rPr>
              <w:t>$130,290.00</w:t>
            </w:r>
          </w:p>
        </w:tc>
      </w:tr>
    </w:tbl>
    <w:p w:rsidR="00D34FA0" w:rsidRPr="00D34FA0" w:rsidRDefault="00D34FA0">
      <w:pPr>
        <w:rPr>
          <w:rFonts w:ascii="Times New Roman" w:hAnsi="Times New Roman" w:cs="Times New Roman"/>
          <w:sz w:val="18"/>
          <w:szCs w:val="18"/>
        </w:rPr>
      </w:pPr>
    </w:p>
    <w:p w:rsidR="00D34FA0" w:rsidRPr="00D34FA0" w:rsidRDefault="00D34FA0">
      <w:pPr>
        <w:rPr>
          <w:rFonts w:ascii="Times New Roman" w:hAnsi="Times New Roman" w:cs="Times New Roman"/>
          <w:sz w:val="18"/>
          <w:szCs w:val="18"/>
        </w:rPr>
      </w:pPr>
    </w:p>
    <w:p w:rsidR="00D34FA0" w:rsidRPr="00D34FA0" w:rsidRDefault="00D34FA0">
      <w:pPr>
        <w:rPr>
          <w:rFonts w:ascii="Times New Roman" w:hAnsi="Times New Roman" w:cs="Times New Roman"/>
          <w:sz w:val="18"/>
          <w:szCs w:val="18"/>
        </w:rPr>
      </w:pPr>
    </w:p>
    <w:p w:rsidR="00863D6E" w:rsidRPr="00D34FA0" w:rsidRDefault="00863D6E">
      <w:pPr>
        <w:rPr>
          <w:rFonts w:ascii="Times New Roman" w:hAnsi="Times New Roman" w:cs="Times New Roman"/>
        </w:rPr>
      </w:pPr>
    </w:p>
    <w:p w:rsidR="00B9317C" w:rsidRPr="00D34FA0" w:rsidRDefault="00B9317C">
      <w:pPr>
        <w:rPr>
          <w:rFonts w:ascii="Times New Roman" w:hAnsi="Times New Roman" w:cs="Times New Roman"/>
          <w:sz w:val="18"/>
          <w:szCs w:val="18"/>
        </w:rPr>
      </w:pPr>
      <w:r>
        <w:rPr>
          <w:rFonts w:ascii="Times New Roman" w:hAnsi="Times New Roman"/>
          <w:sz w:val="18"/>
          <w:szCs w:val="18"/>
        </w:rPr>
        <w:t>* Para as famílias/agregado familiar com mais de 8 pessoas, adicionar US$</w:t>
      </w:r>
      <w:r w:rsidR="00BE4B65">
        <w:rPr>
          <w:rFonts w:ascii="Times New Roman" w:hAnsi="Times New Roman"/>
          <w:sz w:val="18"/>
          <w:szCs w:val="18"/>
        </w:rPr>
        <w:t>4420</w:t>
      </w:r>
      <w:r>
        <w:rPr>
          <w:rFonts w:ascii="Times New Roman" w:hAnsi="Times New Roman"/>
          <w:sz w:val="18"/>
          <w:szCs w:val="18"/>
        </w:rPr>
        <w:t xml:space="preserve"> para cada pessoa adicional.</w:t>
      </w:r>
    </w:p>
    <w:p w:rsidR="00863D6E" w:rsidRPr="00D34FA0" w:rsidRDefault="00F94920">
      <w:pPr>
        <w:rPr>
          <w:rFonts w:ascii="Times New Roman" w:hAnsi="Times New Roman" w:cs="Times New Roman"/>
          <w:b/>
          <w:sz w:val="18"/>
          <w:szCs w:val="18"/>
        </w:rPr>
      </w:pPr>
      <w:r>
        <w:rPr>
          <w:rFonts w:ascii="Times New Roman" w:hAnsi="Times New Roman"/>
          <w:b/>
          <w:sz w:val="18"/>
          <w:szCs w:val="18"/>
        </w:rPr>
        <w:t>Planos de pagamento (parcelamento)</w:t>
      </w:r>
    </w:p>
    <w:p w:rsidR="00F94920" w:rsidRPr="00D34FA0" w:rsidRDefault="00F94920">
      <w:pPr>
        <w:rPr>
          <w:rFonts w:ascii="Times New Roman" w:hAnsi="Times New Roman" w:cs="Times New Roman"/>
          <w:sz w:val="18"/>
          <w:szCs w:val="18"/>
        </w:rPr>
      </w:pPr>
      <w:r>
        <w:rPr>
          <w:rFonts w:ascii="Times New Roman" w:hAnsi="Times New Roman"/>
          <w:sz w:val="18"/>
          <w:szCs w:val="18"/>
        </w:rPr>
        <w:t>Os planos de pagamento estão disponíveis, mediante aprovação, para os serviços do Westfield Memorial Hospital.Os planos de pagamento são razoáveis para os padrões da indústria, não excedendo 10% da receita bruta mensal do paciente/fiador.Juros não serão aplicados ao saldo do paciente.Os agendamentos de pagamento acelerado não são usados no Westfield Memorial Hospital.</w:t>
      </w:r>
    </w:p>
    <w:p w:rsidR="00F94920" w:rsidRPr="00D34FA0" w:rsidRDefault="00F94920">
      <w:pPr>
        <w:rPr>
          <w:rFonts w:ascii="Times New Roman" w:hAnsi="Times New Roman" w:cs="Times New Roman"/>
          <w:b/>
          <w:sz w:val="18"/>
          <w:szCs w:val="18"/>
        </w:rPr>
      </w:pPr>
      <w:r>
        <w:rPr>
          <w:rFonts w:ascii="Times New Roman" w:hAnsi="Times New Roman"/>
          <w:b/>
          <w:sz w:val="18"/>
          <w:szCs w:val="18"/>
        </w:rPr>
        <w:t>Faturamento e Cobrança</w:t>
      </w:r>
    </w:p>
    <w:p w:rsidR="00F94920" w:rsidRPr="00D34FA0" w:rsidRDefault="007D59D1">
      <w:pPr>
        <w:rPr>
          <w:rFonts w:ascii="Times New Roman" w:hAnsi="Times New Roman" w:cs="Times New Roman"/>
          <w:sz w:val="18"/>
          <w:szCs w:val="18"/>
        </w:rPr>
      </w:pPr>
      <w:r>
        <w:rPr>
          <w:rFonts w:ascii="Times New Roman" w:hAnsi="Times New Roman"/>
          <w:sz w:val="18"/>
          <w:szCs w:val="18"/>
        </w:rPr>
        <w:t>O Westfield Memorial Hospital não se envolverá em ações extraordinárias de cobrança (ECAs) envolvendo a venda forçada ou o excussão da residência principal de um paciente.</w:t>
      </w:r>
    </w:p>
    <w:p w:rsidR="00863D6E" w:rsidRDefault="00863D6E"/>
    <w:p w:rsidR="00863D6E" w:rsidRDefault="00863D6E"/>
    <w:p w:rsidR="00D12D96" w:rsidRDefault="00D12D96"/>
    <w:p w:rsidR="00D12D96" w:rsidRPr="00D12D96" w:rsidRDefault="00D12D96"/>
    <w:sectPr w:rsidR="00D12D96" w:rsidRPr="00D12D96" w:rsidSect="005804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0B2" w:rsidRDefault="000750B2" w:rsidP="00B9317C">
      <w:pPr>
        <w:spacing w:after="0" w:line="240" w:lineRule="auto"/>
      </w:pPr>
      <w:r>
        <w:separator/>
      </w:r>
    </w:p>
  </w:endnote>
  <w:endnote w:type="continuationSeparator" w:id="1">
    <w:p w:rsidR="000750B2" w:rsidRDefault="000750B2" w:rsidP="00B93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0B2" w:rsidRDefault="000750B2" w:rsidP="00B9317C">
      <w:pPr>
        <w:spacing w:after="0" w:line="240" w:lineRule="auto"/>
      </w:pPr>
      <w:r>
        <w:separator/>
      </w:r>
    </w:p>
  </w:footnote>
  <w:footnote w:type="continuationSeparator" w:id="1">
    <w:p w:rsidR="000750B2" w:rsidRDefault="000750B2" w:rsidP="00B931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3113DA"/>
    <w:rsid w:val="000750B2"/>
    <w:rsid w:val="000B3CE6"/>
    <w:rsid w:val="00172413"/>
    <w:rsid w:val="001F2A35"/>
    <w:rsid w:val="003113DA"/>
    <w:rsid w:val="003264F8"/>
    <w:rsid w:val="00383AC0"/>
    <w:rsid w:val="003D34D4"/>
    <w:rsid w:val="00580446"/>
    <w:rsid w:val="00597242"/>
    <w:rsid w:val="00716D79"/>
    <w:rsid w:val="00762679"/>
    <w:rsid w:val="007D59D1"/>
    <w:rsid w:val="00863D6E"/>
    <w:rsid w:val="00875295"/>
    <w:rsid w:val="00895BBF"/>
    <w:rsid w:val="00955328"/>
    <w:rsid w:val="009E0889"/>
    <w:rsid w:val="00A03703"/>
    <w:rsid w:val="00A31821"/>
    <w:rsid w:val="00AA7B9C"/>
    <w:rsid w:val="00B9317C"/>
    <w:rsid w:val="00BE4B65"/>
    <w:rsid w:val="00C27322"/>
    <w:rsid w:val="00D12D96"/>
    <w:rsid w:val="00D34FA0"/>
    <w:rsid w:val="00D51EAC"/>
    <w:rsid w:val="00F357D1"/>
    <w:rsid w:val="00F460C6"/>
    <w:rsid w:val="00F91296"/>
    <w:rsid w:val="00F949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7C"/>
  </w:style>
  <w:style w:type="paragraph" w:styleId="Footer">
    <w:name w:val="footer"/>
    <w:basedOn w:val="Normal"/>
    <w:link w:val="FooterChar"/>
    <w:uiPriority w:val="99"/>
    <w:unhideWhenUsed/>
    <w:rsid w:val="00B9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17C"/>
  </w:style>
  <w:style w:type="paragraph" w:styleId="Footer">
    <w:name w:val="footer"/>
    <w:basedOn w:val="Normal"/>
    <w:link w:val="FooterChar"/>
    <w:uiPriority w:val="99"/>
    <w:unhideWhenUsed/>
    <w:rsid w:val="00B9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17C"/>
  </w:style>
</w:styles>
</file>

<file path=word/webSettings.xml><?xml version="1.0" encoding="utf-8"?>
<w:webSettings xmlns:r="http://schemas.openxmlformats.org/officeDocument/2006/relationships" xmlns:w="http://schemas.openxmlformats.org/wordprocessingml/2006/main">
  <w:divs>
    <w:div w:id="209268878">
      <w:bodyDiv w:val="1"/>
      <w:marLeft w:val="0"/>
      <w:marRight w:val="0"/>
      <w:marTop w:val="0"/>
      <w:marBottom w:val="0"/>
      <w:divBdr>
        <w:top w:val="none" w:sz="0" w:space="0" w:color="auto"/>
        <w:left w:val="none" w:sz="0" w:space="0" w:color="auto"/>
        <w:bottom w:val="none" w:sz="0" w:space="0" w:color="auto"/>
        <w:right w:val="none" w:sz="0" w:space="0" w:color="auto"/>
      </w:divBdr>
    </w:div>
    <w:div w:id="266620999">
      <w:bodyDiv w:val="1"/>
      <w:marLeft w:val="0"/>
      <w:marRight w:val="0"/>
      <w:marTop w:val="0"/>
      <w:marBottom w:val="0"/>
      <w:divBdr>
        <w:top w:val="none" w:sz="0" w:space="0" w:color="auto"/>
        <w:left w:val="none" w:sz="0" w:space="0" w:color="auto"/>
        <w:bottom w:val="none" w:sz="0" w:space="0" w:color="auto"/>
        <w:right w:val="none" w:sz="0" w:space="0" w:color="auto"/>
      </w:divBdr>
    </w:div>
    <w:div w:id="315301618">
      <w:bodyDiv w:val="1"/>
      <w:marLeft w:val="0"/>
      <w:marRight w:val="0"/>
      <w:marTop w:val="0"/>
      <w:marBottom w:val="0"/>
      <w:divBdr>
        <w:top w:val="none" w:sz="0" w:space="0" w:color="auto"/>
        <w:left w:val="none" w:sz="0" w:space="0" w:color="auto"/>
        <w:bottom w:val="none" w:sz="0" w:space="0" w:color="auto"/>
        <w:right w:val="none" w:sz="0" w:space="0" w:color="auto"/>
      </w:divBdr>
    </w:div>
    <w:div w:id="546379695">
      <w:bodyDiv w:val="1"/>
      <w:marLeft w:val="0"/>
      <w:marRight w:val="0"/>
      <w:marTop w:val="0"/>
      <w:marBottom w:val="0"/>
      <w:divBdr>
        <w:top w:val="none" w:sz="0" w:space="0" w:color="auto"/>
        <w:left w:val="none" w:sz="0" w:space="0" w:color="auto"/>
        <w:bottom w:val="none" w:sz="0" w:space="0" w:color="auto"/>
        <w:right w:val="none" w:sz="0" w:space="0" w:color="auto"/>
      </w:divBdr>
    </w:div>
    <w:div w:id="667561835">
      <w:bodyDiv w:val="1"/>
      <w:marLeft w:val="0"/>
      <w:marRight w:val="0"/>
      <w:marTop w:val="0"/>
      <w:marBottom w:val="0"/>
      <w:divBdr>
        <w:top w:val="none" w:sz="0" w:space="0" w:color="auto"/>
        <w:left w:val="none" w:sz="0" w:space="0" w:color="auto"/>
        <w:bottom w:val="none" w:sz="0" w:space="0" w:color="auto"/>
        <w:right w:val="none" w:sz="0" w:space="0" w:color="auto"/>
      </w:divBdr>
    </w:div>
    <w:div w:id="917060228">
      <w:bodyDiv w:val="1"/>
      <w:marLeft w:val="0"/>
      <w:marRight w:val="0"/>
      <w:marTop w:val="0"/>
      <w:marBottom w:val="0"/>
      <w:divBdr>
        <w:top w:val="none" w:sz="0" w:space="0" w:color="auto"/>
        <w:left w:val="none" w:sz="0" w:space="0" w:color="auto"/>
        <w:bottom w:val="none" w:sz="0" w:space="0" w:color="auto"/>
        <w:right w:val="none" w:sz="0" w:space="0" w:color="auto"/>
      </w:divBdr>
    </w:div>
    <w:div w:id="1091244175">
      <w:bodyDiv w:val="1"/>
      <w:marLeft w:val="0"/>
      <w:marRight w:val="0"/>
      <w:marTop w:val="0"/>
      <w:marBottom w:val="0"/>
      <w:divBdr>
        <w:top w:val="none" w:sz="0" w:space="0" w:color="auto"/>
        <w:left w:val="none" w:sz="0" w:space="0" w:color="auto"/>
        <w:bottom w:val="none" w:sz="0" w:space="0" w:color="auto"/>
        <w:right w:val="none" w:sz="0" w:space="0" w:color="auto"/>
      </w:divBdr>
    </w:div>
    <w:div w:id="1263486865">
      <w:bodyDiv w:val="1"/>
      <w:marLeft w:val="0"/>
      <w:marRight w:val="0"/>
      <w:marTop w:val="0"/>
      <w:marBottom w:val="0"/>
      <w:divBdr>
        <w:top w:val="none" w:sz="0" w:space="0" w:color="auto"/>
        <w:left w:val="none" w:sz="0" w:space="0" w:color="auto"/>
        <w:bottom w:val="none" w:sz="0" w:space="0" w:color="auto"/>
        <w:right w:val="none" w:sz="0" w:space="0" w:color="auto"/>
      </w:divBdr>
    </w:div>
    <w:div w:id="1264265048">
      <w:bodyDiv w:val="1"/>
      <w:marLeft w:val="0"/>
      <w:marRight w:val="0"/>
      <w:marTop w:val="0"/>
      <w:marBottom w:val="0"/>
      <w:divBdr>
        <w:top w:val="none" w:sz="0" w:space="0" w:color="auto"/>
        <w:left w:val="none" w:sz="0" w:space="0" w:color="auto"/>
        <w:bottom w:val="none" w:sz="0" w:space="0" w:color="auto"/>
        <w:right w:val="none" w:sz="0" w:space="0" w:color="auto"/>
      </w:divBdr>
    </w:div>
    <w:div w:id="1715693033">
      <w:bodyDiv w:val="1"/>
      <w:marLeft w:val="0"/>
      <w:marRight w:val="0"/>
      <w:marTop w:val="0"/>
      <w:marBottom w:val="0"/>
      <w:divBdr>
        <w:top w:val="none" w:sz="0" w:space="0" w:color="auto"/>
        <w:left w:val="none" w:sz="0" w:space="0" w:color="auto"/>
        <w:bottom w:val="none" w:sz="0" w:space="0" w:color="auto"/>
        <w:right w:val="none" w:sz="0" w:space="0" w:color="auto"/>
      </w:divBdr>
    </w:div>
    <w:div w:id="1889805237">
      <w:bodyDiv w:val="1"/>
      <w:marLeft w:val="0"/>
      <w:marRight w:val="0"/>
      <w:marTop w:val="0"/>
      <w:marBottom w:val="0"/>
      <w:divBdr>
        <w:top w:val="none" w:sz="0" w:space="0" w:color="auto"/>
        <w:left w:val="none" w:sz="0" w:space="0" w:color="auto"/>
        <w:bottom w:val="none" w:sz="0" w:space="0" w:color="auto"/>
        <w:right w:val="none" w:sz="0" w:space="0" w:color="auto"/>
      </w:divBdr>
    </w:div>
    <w:div w:id="20053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Walsko</dc:creator>
  <cp:lastModifiedBy>WWH</cp:lastModifiedBy>
  <cp:revision>4</cp:revision>
  <dcterms:created xsi:type="dcterms:W3CDTF">2019-07-22T13:52:00Z</dcterms:created>
  <dcterms:modified xsi:type="dcterms:W3CDTF">2019-07-22T13:53:00Z</dcterms:modified>
</cp:coreProperties>
</file>