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21" w:rsidRPr="00D34FA0" w:rsidRDefault="003113D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Apéndice E:Requisitos adicionales y por separado para asistencia financiera de Westfield Memorial Hospital</w:t>
      </w:r>
    </w:p>
    <w:p w:rsidR="00D34FA0" w:rsidRPr="00D34FA0" w:rsidRDefault="00D12D9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Procedimiento de solicitud</w:t>
      </w:r>
    </w:p>
    <w:p w:rsidR="00D34FA0" w:rsidRPr="00D34FA0" w:rsidRDefault="00B9317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En pacientes cuyo ingreso es igual o inferior al 100 %  de las Pautas Federales de Pobreza, se condonará el 100 % de todos los saldos adeudados por el paciente.</w:t>
      </w:r>
      <w:r w:rsidR="008E48F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En pacientes cuyos ingresos correspondan al 101-300 % de las Pautas Federales de Pobreza, se aplicará un programa de tarifas variables con un rango de descuentos desde 85 % hasta 95 % de acuerdo con la cantidad máxima de pago (MPA).El nivel de ingresos del paciente no se determinará sobre la base de sus bienes.</w:t>
      </w:r>
      <w:r w:rsidR="009F495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Entre los bienes que no se consideran se encuentran la residencia principal del paciente, los bienes mantenidos en una cuenta de ahorros para la jubilación con impuestos diferidos o en una cuenta similar, la cuenta de ahorros para la universidad o los automóviles que el paciente o los familiares directos del paciente utilicen de manera regular.</w:t>
      </w:r>
    </w:p>
    <w:p w:rsidR="00B9317C" w:rsidRPr="00D34FA0" w:rsidRDefault="00B931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18"/>
          <w:szCs w:val="18"/>
        </w:rPr>
        <w:t>Pautas Federales de Pobreza 201</w:t>
      </w:r>
      <w:r w:rsidR="006C294C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 al </w:t>
      </w:r>
      <w:r w:rsidR="006C294C">
        <w:rPr>
          <w:rFonts w:ascii="Times New Roman" w:hAnsi="Times New Roman"/>
          <w:sz w:val="18"/>
          <w:szCs w:val="18"/>
        </w:rPr>
        <w:t>01</w:t>
      </w:r>
      <w:r>
        <w:rPr>
          <w:rFonts w:ascii="Times New Roman" w:hAnsi="Times New Roman"/>
          <w:sz w:val="18"/>
          <w:szCs w:val="18"/>
        </w:rPr>
        <w:t xml:space="preserve"> de </w:t>
      </w:r>
      <w:r w:rsidR="006C294C">
        <w:rPr>
          <w:rFonts w:ascii="Times New Roman" w:hAnsi="Times New Roman"/>
          <w:sz w:val="18"/>
          <w:szCs w:val="18"/>
        </w:rPr>
        <w:t>febrero</w:t>
      </w:r>
      <w:r>
        <w:rPr>
          <w:rFonts w:ascii="Times New Roman" w:hAnsi="Times New Roman"/>
          <w:sz w:val="18"/>
          <w:szCs w:val="18"/>
        </w:rPr>
        <w:t xml:space="preserve"> de 201</w:t>
      </w:r>
      <w:r w:rsidR="006C294C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 según constan en el Registro Federal [</w:t>
      </w:r>
      <w:r w:rsidR="006C294C">
        <w:rPr>
          <w:rFonts w:ascii="Times New Roman" w:hAnsi="Times New Roman" w:cs="Times New Roman"/>
          <w:sz w:val="18"/>
          <w:szCs w:val="18"/>
        </w:rPr>
        <w:t>FR Doc.2019-00621(/a/2019-00621</w:t>
      </w:r>
      <w:r>
        <w:rPr>
          <w:rFonts w:ascii="Times New Roman" w:hAnsi="Times New Roman"/>
          <w:sz w:val="18"/>
          <w:szCs w:val="18"/>
        </w:rPr>
        <w:t xml:space="preserve">) presentadas con fecha </w:t>
      </w:r>
      <w:r w:rsidR="006C294C">
        <w:rPr>
          <w:rFonts w:ascii="Times New Roman" w:hAnsi="Times New Roman" w:cs="Times New Roman"/>
          <w:sz w:val="18"/>
          <w:szCs w:val="18"/>
        </w:rPr>
        <w:t>01-31-19; 8:45A</w:t>
      </w:r>
      <w:r w:rsidR="006C294C" w:rsidRPr="00D34FA0">
        <w:rPr>
          <w:rFonts w:ascii="Times New Roman" w:hAnsi="Times New Roman" w:cs="Times New Roman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]</w:t>
      </w:r>
    </w:p>
    <w:tbl>
      <w:tblPr>
        <w:tblW w:w="8940" w:type="dxa"/>
        <w:tblInd w:w="93" w:type="dxa"/>
        <w:tblLook w:val="04A0"/>
      </w:tblPr>
      <w:tblGrid>
        <w:gridCol w:w="1744"/>
        <w:gridCol w:w="1603"/>
        <w:gridCol w:w="960"/>
        <w:gridCol w:w="1714"/>
        <w:gridCol w:w="1603"/>
        <w:gridCol w:w="1316"/>
      </w:tblGrid>
      <w:tr w:rsidR="00D34FA0" w:rsidRPr="00D34FA0" w:rsidTr="00D34FA0">
        <w:trPr>
          <w:trHeight w:val="330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100 % de descuento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Intervalo de ingresos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95 % de descuento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Intervalo de ingresos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 </w:t>
            </w:r>
          </w:p>
        </w:tc>
      </w:tr>
      <w:tr w:rsidR="00D34FA0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Tamaño de la unidad familiar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Tamaño de la unidad familiar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101 %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150 %</w:t>
            </w:r>
          </w:p>
        </w:tc>
      </w:tr>
      <w:tr w:rsidR="006C294C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$12,490.00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$12,614.90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$18,735.00</w:t>
            </w:r>
          </w:p>
        </w:tc>
      </w:tr>
      <w:tr w:rsidR="006C294C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$16,910.00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$17,079.10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$25,365.00</w:t>
            </w:r>
          </w:p>
        </w:tc>
      </w:tr>
      <w:tr w:rsidR="006C294C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$21,330.00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$21,543.30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$31,995.00</w:t>
            </w:r>
          </w:p>
        </w:tc>
      </w:tr>
      <w:tr w:rsidR="006C294C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$25,750.00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$26,007.50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$38,625.00</w:t>
            </w:r>
          </w:p>
        </w:tc>
      </w:tr>
      <w:tr w:rsidR="006C294C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$30,170.00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$30,471.70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$45,255.00</w:t>
            </w:r>
          </w:p>
        </w:tc>
      </w:tr>
      <w:tr w:rsidR="006C294C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$34,590.00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$34,935.90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$51,885.00</w:t>
            </w:r>
          </w:p>
        </w:tc>
      </w:tr>
      <w:tr w:rsidR="006C294C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$39,010.00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$39,400.10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$58,515.00</w:t>
            </w:r>
          </w:p>
        </w:tc>
      </w:tr>
      <w:tr w:rsidR="006C294C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$43,430.00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$43,864.30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$65,145.00</w:t>
            </w:r>
          </w:p>
        </w:tc>
      </w:tr>
    </w:tbl>
    <w:p w:rsidR="00D34FA0" w:rsidRDefault="00D34FA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483" w:type="dxa"/>
        <w:tblInd w:w="93" w:type="dxa"/>
        <w:tblLook w:val="04A0"/>
      </w:tblPr>
      <w:tblGrid>
        <w:gridCol w:w="1632"/>
        <w:gridCol w:w="1505"/>
        <w:gridCol w:w="1426"/>
        <w:gridCol w:w="360"/>
        <w:gridCol w:w="1630"/>
        <w:gridCol w:w="1504"/>
        <w:gridCol w:w="1426"/>
      </w:tblGrid>
      <w:tr w:rsidR="00D34FA0" w:rsidRPr="00D34FA0" w:rsidTr="00D34FA0">
        <w:trPr>
          <w:trHeight w:val="330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90 % de descuento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Intervalo de ingresos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85 % de descuento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Intervalo de ingresos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 </w:t>
            </w:r>
          </w:p>
        </w:tc>
      </w:tr>
      <w:tr w:rsidR="00D34FA0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Tamaño de la unidad familiar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151 %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250 %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Tamaño de la unidad familiar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251 %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300 %</w:t>
            </w:r>
          </w:p>
        </w:tc>
      </w:tr>
      <w:tr w:rsidR="006C294C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$18,859.90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$31,225.00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$31,349.90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$37,470.00</w:t>
            </w:r>
          </w:p>
        </w:tc>
      </w:tr>
      <w:tr w:rsidR="006C294C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$25,534.10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$42,275.00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$42,444.10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$50,730.00</w:t>
            </w:r>
          </w:p>
        </w:tc>
      </w:tr>
      <w:tr w:rsidR="006C294C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$32,208.30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$53,325.00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$53,538.30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$63,990.00</w:t>
            </w:r>
          </w:p>
        </w:tc>
      </w:tr>
      <w:tr w:rsidR="006C294C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$38,882.50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$64,375.00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$64,632.50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$77,250.00</w:t>
            </w:r>
          </w:p>
        </w:tc>
      </w:tr>
      <w:tr w:rsidR="006C294C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$45,556.70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$75,425.00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$75,726.70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$90,510.00</w:t>
            </w:r>
          </w:p>
        </w:tc>
      </w:tr>
      <w:tr w:rsidR="006C294C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$52,230.90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$86,475.00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$86,820.90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$103,770.00</w:t>
            </w:r>
          </w:p>
        </w:tc>
      </w:tr>
      <w:tr w:rsidR="006C294C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$58,905.10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$97,525.00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$97,915.10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$117,030.00</w:t>
            </w:r>
          </w:p>
        </w:tc>
      </w:tr>
      <w:tr w:rsidR="006C294C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$65,579.30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$108,575.00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D34FA0" w:rsidRDefault="006C294C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$109,009.30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294C" w:rsidRPr="000664CF" w:rsidRDefault="006C294C" w:rsidP="004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$130,290.00</w:t>
            </w:r>
          </w:p>
        </w:tc>
      </w:tr>
    </w:tbl>
    <w:p w:rsidR="00D34FA0" w:rsidRPr="00D34FA0" w:rsidRDefault="00D34FA0">
      <w:pPr>
        <w:rPr>
          <w:rFonts w:ascii="Times New Roman" w:hAnsi="Times New Roman" w:cs="Times New Roman"/>
          <w:sz w:val="18"/>
          <w:szCs w:val="18"/>
        </w:rPr>
      </w:pPr>
    </w:p>
    <w:p w:rsidR="00D34FA0" w:rsidRPr="00D34FA0" w:rsidRDefault="00D34FA0">
      <w:pPr>
        <w:rPr>
          <w:rFonts w:ascii="Times New Roman" w:hAnsi="Times New Roman" w:cs="Times New Roman"/>
          <w:sz w:val="18"/>
          <w:szCs w:val="18"/>
        </w:rPr>
      </w:pPr>
    </w:p>
    <w:p w:rsidR="00D34FA0" w:rsidRPr="00D34FA0" w:rsidRDefault="00D34FA0">
      <w:pPr>
        <w:rPr>
          <w:rFonts w:ascii="Times New Roman" w:hAnsi="Times New Roman" w:cs="Times New Roman"/>
          <w:sz w:val="18"/>
          <w:szCs w:val="18"/>
        </w:rPr>
      </w:pPr>
    </w:p>
    <w:p w:rsidR="00863D6E" w:rsidRPr="00D34FA0" w:rsidRDefault="00863D6E">
      <w:pPr>
        <w:rPr>
          <w:rFonts w:ascii="Times New Roman" w:hAnsi="Times New Roman" w:cs="Times New Roman"/>
        </w:rPr>
      </w:pPr>
    </w:p>
    <w:p w:rsidR="00B9317C" w:rsidRPr="00D34FA0" w:rsidRDefault="00B9317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Para familias u hogares con más de 8 personas, agregue $</w:t>
      </w:r>
      <w:r w:rsidR="006C294C">
        <w:rPr>
          <w:rFonts w:ascii="Times New Roman" w:hAnsi="Times New Roman" w:cs="Times New Roman"/>
          <w:sz w:val="18"/>
          <w:szCs w:val="18"/>
        </w:rPr>
        <w:t>44</w:t>
      </w:r>
      <w:r w:rsidR="006C294C" w:rsidRPr="00D34FA0">
        <w:rPr>
          <w:rFonts w:ascii="Times New Roman" w:hAnsi="Times New Roman" w:cs="Times New Roman"/>
          <w:sz w:val="18"/>
          <w:szCs w:val="18"/>
        </w:rPr>
        <w:t xml:space="preserve">20 </w:t>
      </w:r>
      <w:r>
        <w:rPr>
          <w:rFonts w:ascii="Times New Roman" w:hAnsi="Times New Roman"/>
          <w:sz w:val="18"/>
          <w:szCs w:val="18"/>
        </w:rPr>
        <w:t>por cada persona adicional.</w:t>
      </w:r>
    </w:p>
    <w:p w:rsidR="00863D6E" w:rsidRPr="00D34FA0" w:rsidRDefault="00F9492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Planes de pago (cuotas) </w:t>
      </w:r>
    </w:p>
    <w:p w:rsidR="00F94920" w:rsidRPr="00D34FA0" w:rsidRDefault="00F9492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Existen planes de pago disponibles, previa aprobación, para los servicios de Westfield Memorial Hospital.</w:t>
      </w:r>
      <w:r w:rsidR="009F495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Los planes de pago son razonables para los estándares de la industria, sin exceder el 10 % del ingreso bruto mensual del paciente o del garante.</w:t>
      </w:r>
      <w:r w:rsidR="009F495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No se aplicarán intereses al saldo del paciente.</w:t>
      </w:r>
      <w:r w:rsidR="009F495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En Westfield Memorial Hospital no se utilizan programas de pago acelerado.</w:t>
      </w:r>
    </w:p>
    <w:p w:rsidR="00F94920" w:rsidRPr="00D34FA0" w:rsidRDefault="00F9492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Facturación y cobros</w:t>
      </w:r>
    </w:p>
    <w:p w:rsidR="00F94920" w:rsidRPr="00D34FA0" w:rsidRDefault="007D59D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Westfield Memorial Hospital no participará en acciones de cobro extraordinarias (ECA) que impliquen la venta forzosa o la ejecución hipotecaria de la residencia principal de un paciente.</w:t>
      </w:r>
    </w:p>
    <w:p w:rsidR="00863D6E" w:rsidRDefault="00863D6E"/>
    <w:p w:rsidR="00863D6E" w:rsidRDefault="00863D6E"/>
    <w:p w:rsidR="00D12D96" w:rsidRDefault="00D12D96"/>
    <w:p w:rsidR="00D12D96" w:rsidRPr="00D12D96" w:rsidRDefault="00D12D96"/>
    <w:sectPr w:rsidR="00D12D96" w:rsidRPr="00D12D96" w:rsidSect="006F5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514" w:rsidRDefault="00704514" w:rsidP="00B9317C">
      <w:pPr>
        <w:spacing w:after="0" w:line="240" w:lineRule="auto"/>
      </w:pPr>
      <w:r>
        <w:separator/>
      </w:r>
    </w:p>
  </w:endnote>
  <w:endnote w:type="continuationSeparator" w:id="1">
    <w:p w:rsidR="00704514" w:rsidRDefault="00704514" w:rsidP="00B9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514" w:rsidRDefault="00704514" w:rsidP="00B9317C">
      <w:pPr>
        <w:spacing w:after="0" w:line="240" w:lineRule="auto"/>
      </w:pPr>
      <w:r>
        <w:separator/>
      </w:r>
    </w:p>
  </w:footnote>
  <w:footnote w:type="continuationSeparator" w:id="1">
    <w:p w:rsidR="00704514" w:rsidRDefault="00704514" w:rsidP="00B93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3DA"/>
    <w:rsid w:val="000B3CE6"/>
    <w:rsid w:val="000E077E"/>
    <w:rsid w:val="00172413"/>
    <w:rsid w:val="001F2A35"/>
    <w:rsid w:val="003113DA"/>
    <w:rsid w:val="003264F8"/>
    <w:rsid w:val="00383AC0"/>
    <w:rsid w:val="003D34D4"/>
    <w:rsid w:val="005E1B62"/>
    <w:rsid w:val="006830F5"/>
    <w:rsid w:val="006C294C"/>
    <w:rsid w:val="006F5948"/>
    <w:rsid w:val="00704514"/>
    <w:rsid w:val="00716D79"/>
    <w:rsid w:val="00762679"/>
    <w:rsid w:val="007D59D1"/>
    <w:rsid w:val="00863D6E"/>
    <w:rsid w:val="00875295"/>
    <w:rsid w:val="00895BBF"/>
    <w:rsid w:val="008E48FE"/>
    <w:rsid w:val="00955328"/>
    <w:rsid w:val="009F4952"/>
    <w:rsid w:val="00A03703"/>
    <w:rsid w:val="00A31821"/>
    <w:rsid w:val="00AA7B9C"/>
    <w:rsid w:val="00B9317C"/>
    <w:rsid w:val="00C27322"/>
    <w:rsid w:val="00D12D96"/>
    <w:rsid w:val="00D34FA0"/>
    <w:rsid w:val="00D51EAC"/>
    <w:rsid w:val="00F357D1"/>
    <w:rsid w:val="00F460C6"/>
    <w:rsid w:val="00F91296"/>
    <w:rsid w:val="00F9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7C"/>
  </w:style>
  <w:style w:type="paragraph" w:styleId="Footer">
    <w:name w:val="footer"/>
    <w:basedOn w:val="Normal"/>
    <w:link w:val="Foot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7C"/>
  </w:style>
  <w:style w:type="paragraph" w:styleId="Footer">
    <w:name w:val="footer"/>
    <w:basedOn w:val="Normal"/>
    <w:link w:val="Foot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WPAHS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Walsko</dc:creator>
  <cp:lastModifiedBy>WWH</cp:lastModifiedBy>
  <cp:revision>3</cp:revision>
  <dcterms:created xsi:type="dcterms:W3CDTF">2019-07-22T12:36:00Z</dcterms:created>
  <dcterms:modified xsi:type="dcterms:W3CDTF">2019-07-22T12:40:00Z</dcterms:modified>
</cp:coreProperties>
</file>